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3F6" w:rsidRDefault="00D433F6" w:rsidP="009660FA">
      <w:pPr>
        <w:pStyle w:val="Nagwek1"/>
        <w:spacing w:line="276" w:lineRule="auto"/>
        <w:jc w:val="left"/>
        <w:rPr>
          <w:rFonts w:ascii="Calibri" w:hAnsi="Calibri" w:cs="Calibri"/>
          <w:b w:val="0"/>
          <w:sz w:val="24"/>
          <w:szCs w:val="24"/>
        </w:rPr>
      </w:pPr>
      <w:r w:rsidRPr="00A10115">
        <w:rPr>
          <w:rFonts w:ascii="Calibri" w:hAnsi="Calibri" w:cs="Calibri"/>
          <w:b w:val="0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5596281" wp14:editId="4124AEA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71515" cy="533400"/>
            <wp:effectExtent l="0" t="0" r="0" b="0"/>
            <wp:wrapNone/>
            <wp:docPr id="4" name="Obraz 4" descr="Logotypy: Fundusze Europejskie dla Rozwoju Społecznego, Rzeczypospolita Polska, Dofinansowanie przez Unię Europejską, PARP Grupa PF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typy: Fundusze Europejskie dla Rozwoju Społecznego, Rzeczypospolita Polska, Dofinansowanie przez Unię Europejską, PARP Grupa PFR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3F6" w:rsidRDefault="00D433F6" w:rsidP="009660FA">
      <w:pPr>
        <w:pStyle w:val="Nagwek1"/>
        <w:spacing w:line="276" w:lineRule="auto"/>
        <w:jc w:val="left"/>
        <w:rPr>
          <w:rFonts w:ascii="Calibri" w:hAnsi="Calibri" w:cs="Calibri"/>
          <w:b w:val="0"/>
          <w:sz w:val="24"/>
          <w:szCs w:val="24"/>
        </w:rPr>
      </w:pPr>
    </w:p>
    <w:p w:rsidR="00671867" w:rsidRPr="00A10115" w:rsidRDefault="009F7458" w:rsidP="009660FA">
      <w:pPr>
        <w:pStyle w:val="Nagwek1"/>
        <w:spacing w:line="276" w:lineRule="auto"/>
        <w:jc w:val="left"/>
        <w:rPr>
          <w:rFonts w:ascii="Calibri" w:hAnsi="Calibri" w:cs="Calibri"/>
          <w:b w:val="0"/>
          <w:sz w:val="24"/>
          <w:szCs w:val="24"/>
        </w:rPr>
      </w:pPr>
      <w:bookmarkStart w:id="0" w:name="_GoBack"/>
      <w:r w:rsidRPr="00A10115">
        <w:rPr>
          <w:rFonts w:ascii="Calibri" w:hAnsi="Calibri" w:cs="Calibri"/>
          <w:b w:val="0"/>
          <w:sz w:val="24"/>
          <w:szCs w:val="24"/>
        </w:rPr>
        <w:t xml:space="preserve">Załącznik nr 1b </w:t>
      </w:r>
      <w:r w:rsidR="00025209" w:rsidRPr="00A10115">
        <w:rPr>
          <w:rFonts w:ascii="Calibri" w:hAnsi="Calibri" w:cs="Calibri"/>
          <w:b w:val="0"/>
          <w:sz w:val="24"/>
          <w:szCs w:val="24"/>
        </w:rPr>
        <w:t>Wzór k</w:t>
      </w:r>
      <w:r w:rsidR="00671867" w:rsidRPr="00A10115">
        <w:rPr>
          <w:rFonts w:ascii="Calibri" w:hAnsi="Calibri" w:cs="Calibri"/>
          <w:b w:val="0"/>
          <w:sz w:val="24"/>
          <w:szCs w:val="24"/>
        </w:rPr>
        <w:t>art</w:t>
      </w:r>
      <w:r w:rsidR="00025209" w:rsidRPr="00A10115">
        <w:rPr>
          <w:rFonts w:ascii="Calibri" w:hAnsi="Calibri" w:cs="Calibri"/>
          <w:b w:val="0"/>
          <w:sz w:val="24"/>
          <w:szCs w:val="24"/>
        </w:rPr>
        <w:t>y</w:t>
      </w:r>
      <w:r w:rsidR="00671867" w:rsidRPr="00A10115">
        <w:rPr>
          <w:rFonts w:ascii="Calibri" w:hAnsi="Calibri" w:cs="Calibri"/>
          <w:b w:val="0"/>
          <w:sz w:val="24"/>
          <w:szCs w:val="24"/>
        </w:rPr>
        <w:t xml:space="preserve"> </w:t>
      </w:r>
      <w:r w:rsidR="00671867" w:rsidRPr="00A10115">
        <w:rPr>
          <w:rFonts w:ascii="Calibri" w:hAnsi="Calibri" w:cs="Calibri"/>
          <w:sz w:val="24"/>
          <w:szCs w:val="24"/>
        </w:rPr>
        <w:t>drugiego etapu</w:t>
      </w:r>
      <w:r w:rsidR="00671867" w:rsidRPr="00A10115">
        <w:rPr>
          <w:rFonts w:ascii="Calibri" w:hAnsi="Calibri" w:cs="Calibri"/>
          <w:b w:val="0"/>
          <w:sz w:val="24"/>
          <w:szCs w:val="24"/>
        </w:rPr>
        <w:t xml:space="preserve"> oceny merytorycznej projektu konkursowego</w:t>
      </w:r>
    </w:p>
    <w:bookmarkEnd w:id="0"/>
    <w:p w:rsidR="00671867" w:rsidRPr="00A10115" w:rsidRDefault="00F305CD" w:rsidP="009660FA">
      <w:pPr>
        <w:pStyle w:val="Nagwek2"/>
        <w:jc w:val="left"/>
        <w:rPr>
          <w:rFonts w:ascii="Calibri" w:hAnsi="Calibri" w:cs="Calibri"/>
          <w:i w:val="0"/>
        </w:rPr>
      </w:pPr>
      <w:r w:rsidRPr="00A10115">
        <w:rPr>
          <w:rFonts w:ascii="Calibri" w:hAnsi="Calibri" w:cs="Calibri"/>
          <w:i w:val="0"/>
        </w:rPr>
        <w:t>K</w:t>
      </w:r>
      <w:r w:rsidR="009732FC" w:rsidRPr="00A10115">
        <w:rPr>
          <w:rFonts w:ascii="Calibri" w:hAnsi="Calibri" w:cs="Calibri"/>
          <w:i w:val="0"/>
        </w:rPr>
        <w:t xml:space="preserve">arta </w:t>
      </w:r>
      <w:r w:rsidR="00CE29EB" w:rsidRPr="00A10115">
        <w:rPr>
          <w:rFonts w:ascii="Calibri" w:hAnsi="Calibri" w:cs="Calibri"/>
          <w:i w:val="0"/>
        </w:rPr>
        <w:t>II</w:t>
      </w:r>
      <w:r w:rsidR="009732FC" w:rsidRPr="00A10115">
        <w:rPr>
          <w:rFonts w:ascii="Calibri" w:hAnsi="Calibri" w:cs="Calibri"/>
          <w:i w:val="0"/>
        </w:rPr>
        <w:t xml:space="preserve"> etapu oceny merytorycznej wniosku o </w:t>
      </w:r>
      <w:r w:rsidR="009660FA" w:rsidRPr="00A10115">
        <w:rPr>
          <w:rFonts w:ascii="Calibri" w:hAnsi="Calibri" w:cs="Calibri"/>
          <w:i w:val="0"/>
        </w:rPr>
        <w:t>d</w:t>
      </w:r>
      <w:r w:rsidR="009732FC" w:rsidRPr="00A10115">
        <w:rPr>
          <w:rFonts w:ascii="Calibri" w:hAnsi="Calibri" w:cs="Calibri"/>
          <w:i w:val="0"/>
        </w:rPr>
        <w:t>ofinansowanie projektu konkursowego w ramach programu FERS</w:t>
      </w:r>
    </w:p>
    <w:p w:rsidR="001C5402" w:rsidRDefault="001C5402" w:rsidP="001C5402"/>
    <w:p w:rsidR="001C5402" w:rsidRPr="001C5402" w:rsidRDefault="001C5402" w:rsidP="001C5402"/>
    <w:p w:rsidR="00671867" w:rsidRPr="009660FA" w:rsidRDefault="006225D3" w:rsidP="009660FA">
      <w:pPr>
        <w:spacing w:after="4" w:line="480" w:lineRule="auto"/>
        <w:jc w:val="left"/>
        <w:rPr>
          <w:rFonts w:ascii="Calibri" w:hAnsi="Calibri" w:cs="Calibri"/>
          <w:sz w:val="24"/>
          <w:szCs w:val="24"/>
        </w:rPr>
      </w:pPr>
      <w:r w:rsidRPr="009660FA">
        <w:rPr>
          <w:rFonts w:ascii="Calibri" w:hAnsi="Calibri" w:cs="Calibri"/>
          <w:sz w:val="24"/>
          <w:szCs w:val="24"/>
        </w:rPr>
        <w:t>Instytucja organizująca nabór (</w:t>
      </w:r>
      <w:r w:rsidR="0050736A" w:rsidRPr="009660FA">
        <w:rPr>
          <w:rFonts w:ascii="Calibri" w:hAnsi="Calibri" w:cs="Calibri"/>
          <w:sz w:val="24"/>
          <w:szCs w:val="24"/>
        </w:rPr>
        <w:t>ION</w:t>
      </w:r>
      <w:r w:rsidRPr="009660FA">
        <w:rPr>
          <w:rFonts w:ascii="Calibri" w:hAnsi="Calibri" w:cs="Calibri"/>
          <w:sz w:val="24"/>
          <w:szCs w:val="24"/>
        </w:rPr>
        <w:t>):</w:t>
      </w:r>
    </w:p>
    <w:p w:rsidR="00671867" w:rsidRPr="009660FA" w:rsidRDefault="006225D3" w:rsidP="009660FA">
      <w:pPr>
        <w:spacing w:after="4" w:line="480" w:lineRule="auto"/>
        <w:jc w:val="left"/>
        <w:rPr>
          <w:rFonts w:ascii="Calibri" w:hAnsi="Calibri" w:cs="Calibri"/>
          <w:sz w:val="24"/>
          <w:szCs w:val="24"/>
        </w:rPr>
      </w:pPr>
      <w:r w:rsidRPr="009660FA">
        <w:rPr>
          <w:rFonts w:ascii="Calibri" w:hAnsi="Calibri" w:cs="Calibri"/>
          <w:sz w:val="24"/>
          <w:szCs w:val="24"/>
        </w:rPr>
        <w:t>Nr naboru:</w:t>
      </w:r>
    </w:p>
    <w:p w:rsidR="00671867" w:rsidRPr="009660FA" w:rsidRDefault="006225D3" w:rsidP="009660FA">
      <w:pPr>
        <w:spacing w:after="4" w:line="480" w:lineRule="auto"/>
        <w:jc w:val="left"/>
        <w:rPr>
          <w:rFonts w:ascii="Calibri" w:hAnsi="Calibri" w:cs="Calibri"/>
          <w:sz w:val="24"/>
          <w:szCs w:val="24"/>
        </w:rPr>
      </w:pPr>
      <w:r w:rsidRPr="009660FA">
        <w:rPr>
          <w:rFonts w:ascii="Calibri" w:hAnsi="Calibri" w:cs="Calibri"/>
          <w:sz w:val="24"/>
          <w:szCs w:val="24"/>
        </w:rPr>
        <w:t>Data wpływu wniosku:</w:t>
      </w:r>
    </w:p>
    <w:p w:rsidR="00671867" w:rsidRPr="009660FA" w:rsidRDefault="006225D3" w:rsidP="009660FA">
      <w:pPr>
        <w:spacing w:after="4" w:line="480" w:lineRule="auto"/>
        <w:jc w:val="left"/>
        <w:rPr>
          <w:rFonts w:ascii="Calibri" w:hAnsi="Calibri" w:cs="Calibri"/>
          <w:sz w:val="24"/>
          <w:szCs w:val="24"/>
        </w:rPr>
      </w:pPr>
      <w:r w:rsidRPr="009660FA">
        <w:rPr>
          <w:rFonts w:ascii="Calibri" w:hAnsi="Calibri" w:cs="Calibri"/>
          <w:sz w:val="24"/>
          <w:szCs w:val="24"/>
        </w:rPr>
        <w:t>Suma kontrolna wniosku:</w:t>
      </w:r>
    </w:p>
    <w:p w:rsidR="00671867" w:rsidRPr="009660FA" w:rsidRDefault="006225D3" w:rsidP="009660FA">
      <w:pPr>
        <w:spacing w:after="4" w:line="480" w:lineRule="auto"/>
        <w:jc w:val="left"/>
        <w:rPr>
          <w:rFonts w:ascii="Calibri" w:hAnsi="Calibri" w:cs="Calibri"/>
          <w:sz w:val="24"/>
          <w:szCs w:val="24"/>
        </w:rPr>
      </w:pPr>
      <w:r w:rsidRPr="009660FA">
        <w:rPr>
          <w:rFonts w:ascii="Calibri" w:hAnsi="Calibri" w:cs="Calibri"/>
          <w:sz w:val="24"/>
          <w:szCs w:val="24"/>
        </w:rPr>
        <w:t>Tytuł projektu:</w:t>
      </w:r>
    </w:p>
    <w:p w:rsidR="00671867" w:rsidRPr="009660FA" w:rsidRDefault="006225D3" w:rsidP="009660FA">
      <w:pPr>
        <w:spacing w:after="4" w:line="480" w:lineRule="auto"/>
        <w:jc w:val="left"/>
        <w:rPr>
          <w:rFonts w:ascii="Calibri" w:hAnsi="Calibri" w:cs="Calibri"/>
          <w:sz w:val="24"/>
          <w:szCs w:val="24"/>
        </w:rPr>
      </w:pPr>
      <w:r w:rsidRPr="009660FA">
        <w:rPr>
          <w:rFonts w:ascii="Calibri" w:hAnsi="Calibri" w:cs="Calibri"/>
          <w:sz w:val="24"/>
          <w:szCs w:val="24"/>
        </w:rPr>
        <w:t>Nazwa wnioskodawcy:</w:t>
      </w:r>
    </w:p>
    <w:p w:rsidR="009660FA" w:rsidRPr="009660FA" w:rsidRDefault="006225D3" w:rsidP="009660FA">
      <w:pPr>
        <w:spacing w:after="19" w:line="480" w:lineRule="auto"/>
        <w:ind w:right="1065"/>
        <w:jc w:val="left"/>
        <w:rPr>
          <w:rFonts w:ascii="Calibri" w:hAnsi="Calibri" w:cs="Calibri"/>
          <w:sz w:val="24"/>
          <w:szCs w:val="24"/>
        </w:rPr>
      </w:pPr>
      <w:r w:rsidRPr="009660FA">
        <w:rPr>
          <w:rFonts w:ascii="Calibri" w:hAnsi="Calibri" w:cs="Calibri"/>
          <w:sz w:val="24"/>
          <w:szCs w:val="24"/>
        </w:rPr>
        <w:t>Oceniający:</w:t>
      </w:r>
    </w:p>
    <w:p w:rsidR="001C5402" w:rsidRDefault="009660FA" w:rsidP="009660FA">
      <w:r>
        <w:br w:type="page"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0"/>
        <w:gridCol w:w="3590"/>
        <w:gridCol w:w="3394"/>
      </w:tblGrid>
      <w:tr w:rsidR="009A123B" w:rsidRPr="00A216DC" w:rsidTr="00A216DC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9A123B" w:rsidRPr="00A216DC" w:rsidRDefault="009A123B" w:rsidP="006A69A8">
            <w:pPr>
              <w:spacing w:before="120" w:after="12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lastRenderedPageBreak/>
              <w:t xml:space="preserve">CZĘŚĆ B. ETAP DRUGI OCENY MERYTORYCZNEJ - KRYTERIA DOSTĘPU </w:t>
            </w:r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(zaznaczyć właściwe znakiem „X”)</w:t>
            </w:r>
          </w:p>
        </w:tc>
      </w:tr>
      <w:tr w:rsidR="009A123B" w:rsidRPr="00A216DC" w:rsidTr="00A216DC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23B" w:rsidRPr="00A216DC" w:rsidRDefault="009A123B" w:rsidP="006A69A8">
            <w:pPr>
              <w:spacing w:after="12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 xml:space="preserve">KRYTERIA DOSTĘPU </w:t>
            </w:r>
            <w:r w:rsidRPr="00A216DC">
              <w:rPr>
                <w:rFonts w:ascii="Calibri" w:eastAsia="Calibri" w:hAnsi="Calibri" w:cs="Calibri"/>
                <w:bCs/>
                <w:sz w:val="24"/>
                <w:szCs w:val="24"/>
                <w:lang w:eastAsia="en-US"/>
              </w:rPr>
              <w:t>(wypełnia ION zgodnie z zapisami właściwego Rocznego Planu Działania)</w:t>
            </w:r>
            <w:r w:rsidRPr="00A216DC">
              <w:rPr>
                <w:rFonts w:ascii="Calibri" w:eastAsia="Calibri" w:hAnsi="Calibri" w:cs="Calibri"/>
                <w:bCs/>
                <w:sz w:val="24"/>
                <w:szCs w:val="24"/>
                <w:vertAlign w:val="superscript"/>
                <w:lang w:eastAsia="en-US"/>
              </w:rPr>
              <w:footnoteReference w:id="1"/>
            </w:r>
            <w:r w:rsidRPr="00A216DC">
              <w:rPr>
                <w:rFonts w:ascii="Calibri" w:eastAsia="Calibr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A123B" w:rsidRPr="00A216DC" w:rsidTr="00A216DC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00" w:rsidRPr="00E86C00" w:rsidRDefault="00E86C00" w:rsidP="00E86C00">
            <w:pPr>
              <w:spacing w:after="120" w:line="276" w:lineRule="auto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A28C1">
              <w:rPr>
                <w:rFonts w:ascii="Calibri" w:hAnsi="Calibri" w:cs="Calibri"/>
                <w:b/>
                <w:bCs/>
                <w:sz w:val="24"/>
                <w:szCs w:val="24"/>
              </w:rPr>
              <w:t>Kryterium nr 1</w:t>
            </w:r>
          </w:p>
          <w:p w:rsidR="00E86C00" w:rsidRPr="00B53288" w:rsidRDefault="00E86C00" w:rsidP="00E86C00">
            <w:pPr>
              <w:spacing w:after="60" w:line="276" w:lineRule="auto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B53288">
              <w:rPr>
                <w:rFonts w:ascii="Calibri" w:hAnsi="Calibri" w:cs="Calibri"/>
                <w:sz w:val="24"/>
                <w:szCs w:val="24"/>
              </w:rPr>
              <w:t>Wnioskodawca lub partner w okresie 5 lat przed terminem złożenia wniosku o dofinansowanie projektu zrealizował lub realizuje co najmniej jeden projekt finansowany ze środków publicznych na rzecz przedsiębiorców lub ich pracowników lub pracownic,</w:t>
            </w:r>
            <w:r w:rsidRPr="00B53288">
              <w:rPr>
                <w:rFonts w:ascii="Calibri" w:hAnsi="Calibri" w:cs="Calibri"/>
                <w:bCs/>
                <w:sz w:val="24"/>
                <w:szCs w:val="24"/>
              </w:rPr>
              <w:t xml:space="preserve"> w ramach którego prowadził działania spełniające łącznie poniższe warunki:</w:t>
            </w:r>
          </w:p>
          <w:p w:rsidR="00E86C00" w:rsidRPr="00B53288" w:rsidRDefault="00E86C00" w:rsidP="00E86C00">
            <w:pPr>
              <w:numPr>
                <w:ilvl w:val="0"/>
                <w:numId w:val="21"/>
              </w:numPr>
              <w:spacing w:after="60" w:line="276" w:lineRule="auto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B53288">
              <w:rPr>
                <w:rFonts w:ascii="Calibri" w:hAnsi="Calibri" w:cs="Calibri"/>
                <w:bCs/>
                <w:sz w:val="24"/>
                <w:szCs w:val="24"/>
              </w:rPr>
              <w:t xml:space="preserve">udzielił pomocy </w:t>
            </w:r>
            <w:r w:rsidRPr="00B53288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de minimis</w:t>
            </w:r>
            <w:r w:rsidRPr="00B53288">
              <w:rPr>
                <w:rFonts w:ascii="Calibri" w:hAnsi="Calibri" w:cs="Calibri"/>
                <w:bCs/>
                <w:sz w:val="24"/>
                <w:szCs w:val="24"/>
              </w:rPr>
              <w:t xml:space="preserve"> co najmniej 100 przedsiębiorcom,</w:t>
            </w:r>
          </w:p>
          <w:p w:rsidR="00E86C00" w:rsidRPr="00BC2507" w:rsidRDefault="00E86C00" w:rsidP="00E86C00">
            <w:pPr>
              <w:numPr>
                <w:ilvl w:val="0"/>
                <w:numId w:val="21"/>
              </w:numPr>
              <w:spacing w:after="60" w:line="276" w:lineRule="auto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B53288">
              <w:rPr>
                <w:rFonts w:ascii="Calibri" w:hAnsi="Calibri" w:cs="Calibri"/>
                <w:bCs/>
                <w:sz w:val="24"/>
                <w:szCs w:val="24"/>
              </w:rPr>
              <w:t>wsparcie polegało na refundacji/dofinansowaniu szkoleń lub doradztwa.</w:t>
            </w:r>
          </w:p>
          <w:p w:rsidR="00E86C00" w:rsidRPr="002A28C1" w:rsidRDefault="00E86C00" w:rsidP="00E86C00">
            <w:pPr>
              <w:spacing w:after="120" w:line="276" w:lineRule="auto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A28C1">
              <w:rPr>
                <w:rFonts w:ascii="Calibri" w:hAnsi="Calibri" w:cs="Calibri"/>
                <w:b/>
                <w:bCs/>
                <w:sz w:val="24"/>
                <w:szCs w:val="24"/>
              </w:rPr>
              <w:t>Kryterium nr 2</w:t>
            </w:r>
          </w:p>
          <w:p w:rsidR="00E86C00" w:rsidRPr="00BC2507" w:rsidRDefault="00E86C00" w:rsidP="00E86C00">
            <w:pPr>
              <w:pStyle w:val="Akapitzlist"/>
              <w:spacing w:after="60"/>
              <w:ind w:left="0"/>
              <w:rPr>
                <w:rFonts w:cs="Calibri"/>
                <w:bCs/>
                <w:sz w:val="24"/>
                <w:szCs w:val="24"/>
              </w:rPr>
            </w:pPr>
            <w:r w:rsidRPr="00BC2507">
              <w:rPr>
                <w:rFonts w:cs="Calibri"/>
                <w:bCs/>
                <w:sz w:val="24"/>
                <w:szCs w:val="24"/>
              </w:rPr>
              <w:t>Wnioskodawca lub partner zaangażują do realizacji projektu co najmniej 4 doradców lub doradczynie/konsultantów lub konsultantki którzy posiadają:</w:t>
            </w:r>
          </w:p>
          <w:p w:rsidR="00E86C00" w:rsidRPr="00BC2507" w:rsidRDefault="00E86C00" w:rsidP="00E86C00">
            <w:pPr>
              <w:pStyle w:val="Akapitzlist"/>
              <w:numPr>
                <w:ilvl w:val="0"/>
                <w:numId w:val="23"/>
              </w:numPr>
              <w:spacing w:after="60"/>
              <w:ind w:left="360"/>
              <w:rPr>
                <w:rFonts w:cs="Calibri"/>
                <w:bCs/>
                <w:sz w:val="24"/>
                <w:szCs w:val="24"/>
              </w:rPr>
            </w:pPr>
            <w:r w:rsidRPr="00BC2507">
              <w:rPr>
                <w:rFonts w:cs="Calibri"/>
                <w:bCs/>
                <w:sz w:val="24"/>
                <w:szCs w:val="24"/>
              </w:rPr>
              <w:t>wykształcenie wyższe na jednym z wymienionych kierunków: zarządzanie, ekonomia, psychologia biznesu, prawo, finanse, audyt;</w:t>
            </w:r>
          </w:p>
          <w:p w:rsidR="00E86C00" w:rsidRPr="00BC2507" w:rsidRDefault="00E86C00" w:rsidP="00E86C00">
            <w:pPr>
              <w:pStyle w:val="Akapitzlist"/>
              <w:spacing w:after="60"/>
              <w:ind w:left="348"/>
              <w:rPr>
                <w:rFonts w:cs="Calibri"/>
                <w:bCs/>
                <w:sz w:val="24"/>
                <w:szCs w:val="24"/>
              </w:rPr>
            </w:pPr>
            <w:r w:rsidRPr="00BC2507">
              <w:rPr>
                <w:rFonts w:cs="Calibri"/>
                <w:bCs/>
                <w:sz w:val="24"/>
                <w:szCs w:val="24"/>
              </w:rPr>
              <w:t>oraz</w:t>
            </w:r>
          </w:p>
          <w:p w:rsidR="00E86C00" w:rsidRPr="00BC2507" w:rsidRDefault="00E86C00" w:rsidP="00E86C00">
            <w:pPr>
              <w:pStyle w:val="Akapitzlist"/>
              <w:numPr>
                <w:ilvl w:val="0"/>
                <w:numId w:val="23"/>
              </w:numPr>
              <w:spacing w:after="60"/>
              <w:ind w:left="360"/>
              <w:rPr>
                <w:rFonts w:cs="Calibri"/>
                <w:bCs/>
                <w:sz w:val="24"/>
                <w:szCs w:val="24"/>
              </w:rPr>
            </w:pPr>
            <w:r w:rsidRPr="00BC2507">
              <w:rPr>
                <w:rFonts w:cs="Calibri"/>
                <w:bCs/>
                <w:sz w:val="24"/>
                <w:szCs w:val="24"/>
              </w:rPr>
              <w:t>udokumentowane doświadczenie w realizacji w ostatnich 5 latach, przed terminem zaangażowania do projektu, co najmniej 20 analiz oceny kondycji (diagnoz) przedsiębiorstwa na podstawie danych finansowych i pozafinansowych firmy.</w:t>
            </w:r>
          </w:p>
          <w:p w:rsidR="00E86C00" w:rsidRPr="00BC2507" w:rsidRDefault="00E86C00" w:rsidP="00E86C00">
            <w:pPr>
              <w:pStyle w:val="Akapitzlist"/>
              <w:spacing w:after="60"/>
              <w:ind w:left="0"/>
              <w:rPr>
                <w:rFonts w:cs="Calibri"/>
                <w:bCs/>
                <w:sz w:val="24"/>
                <w:szCs w:val="24"/>
                <w:u w:val="single"/>
              </w:rPr>
            </w:pPr>
            <w:r w:rsidRPr="00BC2507">
              <w:rPr>
                <w:rFonts w:cs="Calibri"/>
                <w:bCs/>
                <w:sz w:val="24"/>
                <w:szCs w:val="24"/>
              </w:rPr>
              <w:t>Konsultanci lub konsultantki oraz doradcy lub doradczynie zaangażowani w realizację projektu nie mogą być odbiorcami wsparcia w ramach projektów dofinansowanych w naborze oraz nie mogą świadczyć usług rozwojowych zakupionych przez odbiorców wsparcia w Bazie Usług Rozwojowych w ramach projektów dofinansowanych w naborze.</w:t>
            </w:r>
          </w:p>
          <w:p w:rsidR="00E86C00" w:rsidRPr="002A28C1" w:rsidRDefault="00E86C00" w:rsidP="00E86C00">
            <w:pPr>
              <w:spacing w:after="120" w:line="276" w:lineRule="auto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A28C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Kryterium nr 3 </w:t>
            </w:r>
          </w:p>
          <w:p w:rsidR="00E86C00" w:rsidRPr="00BC2507" w:rsidRDefault="00E86C00" w:rsidP="00E86C00">
            <w:pPr>
              <w:spacing w:after="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C2507">
              <w:rPr>
                <w:rFonts w:ascii="Calibri" w:hAnsi="Calibri" w:cs="Calibri"/>
                <w:sz w:val="24"/>
                <w:szCs w:val="24"/>
              </w:rPr>
              <w:t xml:space="preserve">Odbiorcy wsparcia </w:t>
            </w:r>
            <w:r w:rsidR="00A410C2">
              <w:rPr>
                <w:rFonts w:ascii="Calibri" w:hAnsi="Calibri" w:cs="Calibri"/>
                <w:sz w:val="24"/>
                <w:szCs w:val="24"/>
              </w:rPr>
              <w:t>-</w:t>
            </w:r>
            <w:r w:rsidRPr="00BC2507">
              <w:rPr>
                <w:rFonts w:ascii="Calibri" w:hAnsi="Calibri" w:cs="Calibri"/>
                <w:sz w:val="24"/>
                <w:szCs w:val="24"/>
              </w:rPr>
              <w:t xml:space="preserve"> przedsiębiorcy z sektora MSP</w:t>
            </w:r>
            <w:r w:rsidR="00A410C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410C2" w:rsidRPr="00BC2507">
              <w:rPr>
                <w:rFonts w:ascii="Calibri" w:hAnsi="Calibri" w:cs="Calibri"/>
                <w:sz w:val="24"/>
                <w:szCs w:val="24"/>
              </w:rPr>
              <w:t>(</w:t>
            </w:r>
            <w:r w:rsidR="00A410C2">
              <w:rPr>
                <w:rFonts w:ascii="Calibri" w:hAnsi="Calibri" w:cs="Calibri"/>
                <w:sz w:val="24"/>
                <w:szCs w:val="24"/>
              </w:rPr>
              <w:t xml:space="preserve">w tym </w:t>
            </w:r>
            <w:r w:rsidR="00A410C2" w:rsidRPr="00BC2507">
              <w:rPr>
                <w:rFonts w:ascii="Calibri" w:hAnsi="Calibri" w:cs="Calibri"/>
                <w:sz w:val="24"/>
                <w:szCs w:val="24"/>
              </w:rPr>
              <w:t>samozatrudnieni</w:t>
            </w:r>
            <w:r w:rsidR="00A410C2">
              <w:rPr>
                <w:rFonts w:ascii="Calibri" w:hAnsi="Calibri" w:cs="Calibri"/>
                <w:sz w:val="24"/>
                <w:szCs w:val="24"/>
              </w:rPr>
              <w:t>)</w:t>
            </w:r>
            <w:r w:rsidRPr="00BC2507">
              <w:rPr>
                <w:rFonts w:ascii="Calibri" w:hAnsi="Calibri" w:cs="Calibri"/>
                <w:sz w:val="24"/>
                <w:szCs w:val="24"/>
              </w:rPr>
              <w:t xml:space="preserve"> delegujący do projektu swoich pracowników lub pracownice </w:t>
            </w:r>
            <w:r w:rsidR="00A410C2">
              <w:rPr>
                <w:rFonts w:ascii="Calibri" w:hAnsi="Calibri" w:cs="Calibri"/>
                <w:sz w:val="24"/>
                <w:szCs w:val="24"/>
              </w:rPr>
              <w:t>(</w:t>
            </w:r>
            <w:r w:rsidRPr="00BC2507">
              <w:rPr>
                <w:rFonts w:ascii="Calibri" w:hAnsi="Calibri" w:cs="Calibri"/>
                <w:sz w:val="24"/>
                <w:szCs w:val="24"/>
              </w:rPr>
              <w:t>dalej: przedsiębiorcy), muszą:</w:t>
            </w:r>
          </w:p>
          <w:p w:rsidR="00E86C00" w:rsidRPr="00BC2507" w:rsidRDefault="00E86C00" w:rsidP="00E86C00">
            <w:pPr>
              <w:numPr>
                <w:ilvl w:val="0"/>
                <w:numId w:val="24"/>
              </w:numPr>
              <w:spacing w:after="60" w:line="276" w:lineRule="auto"/>
              <w:ind w:left="36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C2507">
              <w:rPr>
                <w:rFonts w:ascii="Calibri" w:hAnsi="Calibri" w:cs="Calibri"/>
                <w:sz w:val="24"/>
                <w:szCs w:val="24"/>
              </w:rPr>
              <w:t>aktywnie wykonywać swoją działalność gospodarczą, zarejestrowaną minimum 12 miesięcy przed dniem rozpoczęcia naboru do projektu</w:t>
            </w:r>
          </w:p>
          <w:p w:rsidR="00E86C00" w:rsidRPr="00BC2507" w:rsidRDefault="00E86C00" w:rsidP="00E86C00">
            <w:pPr>
              <w:spacing w:after="60" w:line="276" w:lineRule="auto"/>
              <w:ind w:left="348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C2507">
              <w:rPr>
                <w:rFonts w:ascii="Calibri" w:hAnsi="Calibri" w:cs="Calibri"/>
                <w:sz w:val="24"/>
                <w:szCs w:val="24"/>
              </w:rPr>
              <w:t xml:space="preserve">i </w:t>
            </w:r>
          </w:p>
          <w:p w:rsidR="00E86C00" w:rsidRPr="00BC2507" w:rsidRDefault="00E86C00" w:rsidP="00E86C00">
            <w:pPr>
              <w:numPr>
                <w:ilvl w:val="0"/>
                <w:numId w:val="24"/>
              </w:numPr>
              <w:spacing w:after="60" w:line="276" w:lineRule="auto"/>
              <w:ind w:left="36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C2507">
              <w:rPr>
                <w:rFonts w:ascii="Calibri" w:hAnsi="Calibri" w:cs="Calibri"/>
                <w:sz w:val="24"/>
                <w:szCs w:val="24"/>
              </w:rPr>
              <w:t>znajdować się w okresowych trudnościach.</w:t>
            </w:r>
          </w:p>
          <w:p w:rsidR="00E86C00" w:rsidRPr="002A28C1" w:rsidRDefault="00E86C00" w:rsidP="00E86C00">
            <w:pPr>
              <w:spacing w:after="120" w:line="276" w:lineRule="auto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A28C1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Kryterium nr 4</w:t>
            </w:r>
          </w:p>
          <w:p w:rsidR="00E86C00" w:rsidRPr="007904AD" w:rsidRDefault="00E86C00" w:rsidP="00E86C00">
            <w:pPr>
              <w:spacing w:after="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904AD">
              <w:rPr>
                <w:rFonts w:ascii="Calibri" w:hAnsi="Calibri" w:cs="Calibri"/>
                <w:sz w:val="24"/>
                <w:szCs w:val="24"/>
              </w:rPr>
              <w:t>Wsparcie udzielone przez wnioskodawcę lub partnera w ramach projektu będzie polegać na:</w:t>
            </w:r>
          </w:p>
          <w:p w:rsidR="00E86C00" w:rsidRPr="007904AD" w:rsidRDefault="00E86C00" w:rsidP="00E86C00">
            <w:pPr>
              <w:numPr>
                <w:ilvl w:val="0"/>
                <w:numId w:val="25"/>
              </w:numPr>
              <w:spacing w:after="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904AD">
              <w:rPr>
                <w:rFonts w:ascii="Calibri" w:hAnsi="Calibri" w:cs="Calibri"/>
                <w:sz w:val="24"/>
                <w:szCs w:val="24"/>
              </w:rPr>
              <w:t xml:space="preserve">aktywnej rekrutacji grupy docelowej, </w:t>
            </w:r>
            <w:r w:rsidRPr="00421C8F">
              <w:rPr>
                <w:rFonts w:ascii="Calibri" w:hAnsi="Calibri" w:cs="Calibri"/>
                <w:sz w:val="24"/>
                <w:szCs w:val="24"/>
              </w:rPr>
              <w:t xml:space="preserve">czyli </w:t>
            </w:r>
            <w:r w:rsidRPr="00421C8F">
              <w:rPr>
                <w:rFonts w:ascii="Calibri" w:hAnsi="Calibri" w:cs="Calibri"/>
                <w:iCs/>
                <w:sz w:val="24"/>
                <w:szCs w:val="24"/>
              </w:rPr>
              <w:t>aktywnych działaniach merytorycznych, niezbędnych dla pozyskania uczestników i potwierdzenia ich kwalifikowalności</w:t>
            </w:r>
            <w:r w:rsidRPr="007904AD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</w:t>
            </w:r>
          </w:p>
          <w:p w:rsidR="00E86C00" w:rsidRPr="007904AD" w:rsidRDefault="00E86C00" w:rsidP="00E86C00">
            <w:pPr>
              <w:numPr>
                <w:ilvl w:val="0"/>
                <w:numId w:val="25"/>
              </w:numPr>
              <w:spacing w:after="60" w:line="276" w:lineRule="auto"/>
              <w:jc w:val="left"/>
              <w:rPr>
                <w:rFonts w:ascii="Calibri" w:hAnsi="Calibri" w:cs="Calibri"/>
                <w:i/>
                <w:sz w:val="24"/>
                <w:szCs w:val="24"/>
              </w:rPr>
            </w:pPr>
            <w:r w:rsidRPr="007904AD">
              <w:rPr>
                <w:rFonts w:ascii="Calibri" w:hAnsi="Calibri" w:cs="Calibri"/>
                <w:sz w:val="24"/>
                <w:szCs w:val="24"/>
              </w:rPr>
              <w:t>realizacji działań doradczych mających na celu opracowanie, w oparciu o wyniki autodiagnozy przedsiębiorstwa, diagnozy kondycji przedsiębiorstwa ze wskazaniem tematyki usług rozwojowych możliwych do sfinansowania w ramach projektu</w:t>
            </w:r>
            <w:r w:rsidRPr="007904AD">
              <w:rPr>
                <w:rFonts w:ascii="Calibri" w:hAnsi="Calibri" w:cs="Calibri"/>
                <w:i/>
                <w:sz w:val="24"/>
                <w:szCs w:val="24"/>
              </w:rPr>
              <w:t xml:space="preserve">, </w:t>
            </w:r>
          </w:p>
          <w:p w:rsidR="00E86C00" w:rsidRPr="007904AD" w:rsidRDefault="00E86C00" w:rsidP="00E86C00">
            <w:pPr>
              <w:numPr>
                <w:ilvl w:val="0"/>
                <w:numId w:val="25"/>
              </w:numPr>
              <w:spacing w:after="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904AD">
              <w:rPr>
                <w:rFonts w:ascii="Calibri" w:hAnsi="Calibri" w:cs="Calibri"/>
                <w:sz w:val="24"/>
                <w:szCs w:val="24"/>
              </w:rPr>
              <w:t xml:space="preserve">refundacji kosztów usług rozwojowych rekomendowanych w diagnozie kondycji przedsiębiorstwa.  </w:t>
            </w:r>
          </w:p>
          <w:p w:rsidR="00E86C00" w:rsidRPr="007904AD" w:rsidRDefault="00E86C00" w:rsidP="00E86C00">
            <w:pPr>
              <w:spacing w:after="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904AD">
              <w:rPr>
                <w:rFonts w:ascii="Calibri" w:hAnsi="Calibri" w:cs="Calibri"/>
                <w:sz w:val="24"/>
                <w:szCs w:val="24"/>
              </w:rPr>
              <w:t xml:space="preserve">Doradztwo, o którym mowa w pkt b), realizowane będzie przez zaangażowane do projektu osoby, o których mowa w kryterium dostępu nr 2. </w:t>
            </w:r>
          </w:p>
          <w:p w:rsidR="00E86C00" w:rsidRPr="007904AD" w:rsidRDefault="00E86C00" w:rsidP="00E86C00">
            <w:pPr>
              <w:spacing w:after="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904AD">
              <w:rPr>
                <w:rFonts w:ascii="Calibri" w:hAnsi="Calibri" w:cs="Calibri"/>
                <w:sz w:val="24"/>
                <w:szCs w:val="24"/>
              </w:rPr>
              <w:t>Usługi rozwojowe, o których mowa w pkt c), będą realizowane za pośrednictwem Bazy Usług Rozwojowych przy zastosowaniu podejścia popytowego, przez podmioty zarejestrowane w BUR świadczące usługi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904AD">
              <w:rPr>
                <w:rFonts w:ascii="Calibri" w:hAnsi="Calibri" w:cs="Calibri"/>
                <w:sz w:val="24"/>
                <w:szCs w:val="24"/>
              </w:rPr>
              <w:t>z możliwością dofinansowania (dostawca usług rozwojowych).</w:t>
            </w:r>
          </w:p>
          <w:p w:rsidR="00E86C00" w:rsidRPr="007904AD" w:rsidRDefault="00E86C00" w:rsidP="00E86C00">
            <w:pPr>
              <w:spacing w:after="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904AD">
              <w:rPr>
                <w:rFonts w:ascii="Calibri" w:hAnsi="Calibri" w:cs="Calibri"/>
                <w:sz w:val="24"/>
                <w:szCs w:val="24"/>
              </w:rPr>
              <w:t>Usługi rozwojowe, o których mowa w pkt c), nie będą świadczone przez Beneficjenta lub partnera realizujących projekt albo podmiot powiązany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904AD">
              <w:rPr>
                <w:rFonts w:ascii="Calibri" w:hAnsi="Calibri" w:cs="Calibri"/>
                <w:sz w:val="24"/>
                <w:szCs w:val="24"/>
              </w:rPr>
              <w:t xml:space="preserve">z Beneficjentem lub partnerem kapitałowo lub osobowo. </w:t>
            </w:r>
          </w:p>
          <w:p w:rsidR="00E86C00" w:rsidRPr="007904AD" w:rsidRDefault="00E86C00" w:rsidP="00E86C00">
            <w:pPr>
              <w:spacing w:after="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904AD">
              <w:rPr>
                <w:rFonts w:ascii="Calibri" w:hAnsi="Calibri" w:cs="Calibri"/>
                <w:sz w:val="24"/>
                <w:szCs w:val="24"/>
              </w:rPr>
              <w:t xml:space="preserve">Dostawcą usług rozwojowych, o których mowa w pkt c), nie może być podmiot powiązany z odbiorcą wsparcia, beneficjentem i partnerem kapitałowo lub osobowo.  </w:t>
            </w:r>
          </w:p>
          <w:p w:rsidR="00E86C00" w:rsidRPr="00C44A8F" w:rsidRDefault="00E86C00" w:rsidP="00E86C00">
            <w:pPr>
              <w:spacing w:after="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904AD">
              <w:rPr>
                <w:rFonts w:ascii="Calibri" w:hAnsi="Calibri" w:cs="Calibri"/>
                <w:sz w:val="24"/>
                <w:szCs w:val="24"/>
              </w:rPr>
              <w:t>Dostawcą usług rozwojowych, o których mowa w pkt c), nie może być podmiot, który jest jednocześnie odbiorcą wsparcia w projektach dofinansowanych w naborze.</w:t>
            </w:r>
          </w:p>
          <w:p w:rsidR="00E86C00" w:rsidRPr="002A28C1" w:rsidRDefault="00E86C00" w:rsidP="00E86C00">
            <w:pPr>
              <w:spacing w:after="120" w:line="276" w:lineRule="auto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A28C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Kryterium nr 5 </w:t>
            </w:r>
          </w:p>
          <w:p w:rsidR="00E86C00" w:rsidRPr="00C44A8F" w:rsidRDefault="00E86C00" w:rsidP="00E86C00">
            <w:pPr>
              <w:spacing w:after="20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A326DD">
              <w:rPr>
                <w:rFonts w:ascii="Calibri" w:hAnsi="Calibri" w:cs="Calibri"/>
                <w:sz w:val="24"/>
                <w:szCs w:val="24"/>
              </w:rPr>
              <w:t xml:space="preserve">Wartość kosztów kwalifikowalnych </w:t>
            </w:r>
            <w:bookmarkStart w:id="1" w:name="_Hlk135827046"/>
            <w:r w:rsidRPr="00A326DD">
              <w:rPr>
                <w:rFonts w:ascii="Calibri" w:hAnsi="Calibri" w:cs="Calibri"/>
                <w:sz w:val="24"/>
                <w:szCs w:val="24"/>
              </w:rPr>
              <w:t>projektu na etapie składania wniosku</w:t>
            </w:r>
            <w:r w:rsidRPr="00A326DD">
              <w:rPr>
                <w:rFonts w:ascii="Calibri" w:hAnsi="Calibri" w:cs="Calibri"/>
                <w:sz w:val="24"/>
                <w:szCs w:val="24"/>
              </w:rPr>
              <w:br/>
              <w:t xml:space="preserve">o dofinansowanie wynosi nie mniej niż </w:t>
            </w:r>
            <w:r w:rsidRPr="00A326DD">
              <w:rPr>
                <w:rFonts w:ascii="Calibri" w:hAnsi="Calibri" w:cs="Calibri"/>
                <w:b/>
                <w:sz w:val="24"/>
                <w:szCs w:val="24"/>
              </w:rPr>
              <w:t>9 431 052,00</w:t>
            </w:r>
            <w:r w:rsidRPr="00A326DD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26DD">
              <w:rPr>
                <w:rFonts w:ascii="Calibri" w:hAnsi="Calibri" w:cs="Calibri"/>
                <w:b/>
                <w:sz w:val="24"/>
                <w:szCs w:val="24"/>
              </w:rPr>
              <w:t>zł</w:t>
            </w:r>
            <w:r w:rsidRPr="00A326DD">
              <w:rPr>
                <w:rFonts w:ascii="Calibri" w:hAnsi="Calibri" w:cs="Calibri"/>
                <w:sz w:val="24"/>
                <w:szCs w:val="24"/>
              </w:rPr>
              <w:t xml:space="preserve"> oraz nie więcej niż </w:t>
            </w:r>
            <w:r w:rsidRPr="00A326DD">
              <w:rPr>
                <w:rFonts w:ascii="Calibri" w:hAnsi="Calibri" w:cs="Calibri"/>
                <w:b/>
                <w:sz w:val="24"/>
                <w:szCs w:val="24"/>
              </w:rPr>
              <w:t>13 196 526,00 zł,</w:t>
            </w:r>
            <w:r w:rsidRPr="00A326DD">
              <w:rPr>
                <w:rFonts w:ascii="Calibri" w:hAnsi="Calibri" w:cs="Calibri"/>
                <w:sz w:val="24"/>
                <w:szCs w:val="24"/>
              </w:rPr>
              <w:t xml:space="preserve"> przy założeniu, że średni koszt dofinansowania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326DD">
              <w:rPr>
                <w:rFonts w:ascii="Calibri" w:hAnsi="Calibri" w:cs="Calibri"/>
                <w:sz w:val="24"/>
                <w:szCs w:val="24"/>
              </w:rPr>
              <w:t xml:space="preserve">w ramach projektu na pracownika lub pracownicę przedsiębiorstwa nie może przekroczyć </w:t>
            </w:r>
            <w:r w:rsidRPr="00A326DD">
              <w:rPr>
                <w:rFonts w:ascii="Calibri" w:hAnsi="Calibri" w:cs="Calibri"/>
                <w:b/>
                <w:sz w:val="24"/>
                <w:szCs w:val="24"/>
              </w:rPr>
              <w:t>19 298,00 zł</w:t>
            </w:r>
            <w:bookmarkEnd w:id="1"/>
            <w:r w:rsidRPr="00A326DD">
              <w:rPr>
                <w:rFonts w:ascii="Calibri" w:hAnsi="Calibri" w:cs="Calibri"/>
                <w:sz w:val="24"/>
                <w:szCs w:val="24"/>
              </w:rPr>
              <w:t>.</w:t>
            </w:r>
          </w:p>
          <w:p w:rsidR="00E86C00" w:rsidRPr="002A28C1" w:rsidRDefault="00E86C00" w:rsidP="00E86C00">
            <w:pPr>
              <w:spacing w:after="120" w:line="276" w:lineRule="auto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A28C1">
              <w:rPr>
                <w:rFonts w:ascii="Calibri" w:hAnsi="Calibri" w:cs="Calibri"/>
                <w:b/>
                <w:bCs/>
                <w:sz w:val="24"/>
                <w:szCs w:val="24"/>
              </w:rPr>
              <w:t>Kryterium nr 6</w:t>
            </w:r>
          </w:p>
          <w:p w:rsidR="00E86C00" w:rsidRPr="00A326DD" w:rsidRDefault="00E86C00" w:rsidP="00E86C00">
            <w:pPr>
              <w:spacing w:after="60" w:line="276" w:lineRule="auto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A326DD">
              <w:rPr>
                <w:rFonts w:ascii="Calibri" w:hAnsi="Calibri" w:cs="Calibri"/>
                <w:bCs/>
                <w:sz w:val="24"/>
                <w:szCs w:val="24"/>
              </w:rPr>
              <w:t>Maksymalny koszt wydatków kwalifikowalnych projektu nie może przekraczać:</w:t>
            </w:r>
          </w:p>
          <w:p w:rsidR="00E86C00" w:rsidRPr="00A326DD" w:rsidRDefault="00E86C00" w:rsidP="00E86C00">
            <w:pPr>
              <w:numPr>
                <w:ilvl w:val="0"/>
                <w:numId w:val="26"/>
              </w:numPr>
              <w:spacing w:after="60" w:line="276" w:lineRule="auto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A326DD">
              <w:rPr>
                <w:rFonts w:ascii="Calibri" w:hAnsi="Calibri" w:cs="Calibri"/>
                <w:b/>
                <w:bCs/>
                <w:sz w:val="24"/>
                <w:szCs w:val="24"/>
              </w:rPr>
              <w:t>19 298,00</w:t>
            </w:r>
            <w:r w:rsidRPr="00A326DD">
              <w:rPr>
                <w:rFonts w:ascii="Calibri" w:hAnsi="Calibri" w:cs="Calibri"/>
                <w:bCs/>
                <w:sz w:val="24"/>
                <w:szCs w:val="24"/>
              </w:rPr>
              <w:t xml:space="preserve"> zł na przedsiębiorstwo niezatrudniające pracowników (samozatrudniony), </w:t>
            </w:r>
          </w:p>
          <w:p w:rsidR="00E86C00" w:rsidRPr="00A326DD" w:rsidRDefault="00E86C00" w:rsidP="00E86C00">
            <w:pPr>
              <w:numPr>
                <w:ilvl w:val="0"/>
                <w:numId w:val="26"/>
              </w:numPr>
              <w:spacing w:after="60" w:line="276" w:lineRule="auto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A326DD">
              <w:rPr>
                <w:rFonts w:ascii="Calibri" w:hAnsi="Calibri" w:cs="Calibri"/>
                <w:b/>
                <w:bCs/>
                <w:sz w:val="24"/>
                <w:szCs w:val="24"/>
              </w:rPr>
              <w:t>77 192,00</w:t>
            </w:r>
            <w:r w:rsidRPr="00A326DD">
              <w:rPr>
                <w:rFonts w:ascii="Calibri" w:hAnsi="Calibri" w:cs="Calibri"/>
                <w:bCs/>
                <w:sz w:val="24"/>
                <w:szCs w:val="24"/>
              </w:rPr>
              <w:t xml:space="preserve"> zł na mikro i małe przedsiębiorstwo, </w:t>
            </w:r>
          </w:p>
          <w:p w:rsidR="00E86C00" w:rsidRPr="00A326DD" w:rsidRDefault="00E86C00" w:rsidP="00E86C00">
            <w:pPr>
              <w:numPr>
                <w:ilvl w:val="0"/>
                <w:numId w:val="26"/>
              </w:numPr>
              <w:spacing w:after="60" w:line="276" w:lineRule="auto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A326DD">
              <w:rPr>
                <w:rFonts w:ascii="Calibri" w:hAnsi="Calibri" w:cs="Calibri"/>
                <w:b/>
                <w:bCs/>
                <w:sz w:val="24"/>
                <w:szCs w:val="24"/>
              </w:rPr>
              <w:t>154 384,00</w:t>
            </w:r>
            <w:r w:rsidRPr="00A326DD">
              <w:rPr>
                <w:rFonts w:ascii="Calibri" w:hAnsi="Calibri" w:cs="Calibri"/>
                <w:bCs/>
                <w:sz w:val="24"/>
                <w:szCs w:val="24"/>
              </w:rPr>
              <w:t xml:space="preserve"> zł na średnie przedsiębiorstwo. </w:t>
            </w:r>
          </w:p>
          <w:p w:rsidR="00E86C00" w:rsidRDefault="00E86C00" w:rsidP="00E86C00">
            <w:pPr>
              <w:spacing w:after="120" w:line="276" w:lineRule="auto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44A8F">
              <w:rPr>
                <w:rFonts w:ascii="Calibri" w:hAnsi="Calibri" w:cs="Calibri"/>
                <w:b/>
                <w:bCs/>
                <w:sz w:val="24"/>
                <w:szCs w:val="24"/>
              </w:rPr>
              <w:t>Kryterium nr 7</w:t>
            </w:r>
          </w:p>
          <w:p w:rsidR="00E86C00" w:rsidRDefault="00E86C00" w:rsidP="00E86C00">
            <w:pPr>
              <w:spacing w:after="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C2FDC">
              <w:rPr>
                <w:rFonts w:ascii="Calibri" w:hAnsi="Calibri" w:cs="Calibri"/>
                <w:sz w:val="24"/>
                <w:szCs w:val="24"/>
              </w:rPr>
              <w:t>Podmiot może wystąpić we wniosku o dofinansowanie raz w ramach naboru.</w:t>
            </w:r>
          </w:p>
          <w:p w:rsidR="00E86C00" w:rsidRPr="002C2FDC" w:rsidRDefault="00E86C00" w:rsidP="00E86C00">
            <w:pPr>
              <w:spacing w:after="60" w:line="276" w:lineRule="auto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2C2FDC">
              <w:rPr>
                <w:rFonts w:ascii="Calibri" w:hAnsi="Calibri" w:cs="Calibri"/>
                <w:b/>
                <w:sz w:val="24"/>
                <w:szCs w:val="24"/>
              </w:rPr>
              <w:t>Treść wniosku o dofinansowanie w części dotyczącej spełniania kryterium nie może być uzupełniana lub poprawiana w zakresie określonym w regulaminie wyboru projektów.</w:t>
            </w:r>
          </w:p>
          <w:p w:rsidR="00E86C00" w:rsidRDefault="00E86C00" w:rsidP="00E86C00">
            <w:pPr>
              <w:spacing w:after="120" w:line="276" w:lineRule="auto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44A8F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Kryterium nr 8</w:t>
            </w:r>
          </w:p>
          <w:p w:rsidR="00E86C00" w:rsidRDefault="00E86C00" w:rsidP="00E86C00">
            <w:pPr>
              <w:spacing w:after="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C2FDC">
              <w:rPr>
                <w:rFonts w:ascii="Calibri" w:hAnsi="Calibri" w:cs="Calibri"/>
                <w:sz w:val="24"/>
                <w:szCs w:val="24"/>
              </w:rPr>
              <w:t xml:space="preserve">Liczba podmiotów wchodzących w skład projektu partnerskiego nie przekracza 5 podmiotów (wnioskodawca i maksymalnie 4 partnerów).  </w:t>
            </w:r>
          </w:p>
          <w:p w:rsidR="00E86C00" w:rsidRPr="002C2FDC" w:rsidRDefault="00E86C00" w:rsidP="00E86C00">
            <w:pPr>
              <w:spacing w:after="60" w:line="276" w:lineRule="auto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2C2FDC">
              <w:rPr>
                <w:rFonts w:ascii="Calibri" w:hAnsi="Calibri" w:cs="Calibri"/>
                <w:b/>
                <w:sz w:val="24"/>
                <w:szCs w:val="24"/>
              </w:rPr>
              <w:t>Treść wniosku o dofinansowanie w części dotyczącej spełniania kryterium nie może być uzupełniana lub poprawiana w zakresie określonym w regulaminie wyboru projektów.</w:t>
            </w:r>
          </w:p>
          <w:p w:rsidR="00E86C00" w:rsidRDefault="00E86C00" w:rsidP="00E86C00">
            <w:pPr>
              <w:spacing w:after="120" w:line="276" w:lineRule="auto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44A8F">
              <w:rPr>
                <w:rFonts w:ascii="Calibri" w:hAnsi="Calibri" w:cs="Calibri"/>
                <w:b/>
                <w:bCs/>
                <w:sz w:val="24"/>
                <w:szCs w:val="24"/>
              </w:rPr>
              <w:t>Kryterium nr 9</w:t>
            </w:r>
          </w:p>
          <w:p w:rsidR="009A123B" w:rsidRPr="00A216DC" w:rsidRDefault="00E86C00" w:rsidP="006A69A8">
            <w:pPr>
              <w:spacing w:after="12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2C2FDC">
              <w:rPr>
                <w:rFonts w:ascii="Calibri" w:hAnsi="Calibri" w:cs="Calibri"/>
                <w:bCs/>
                <w:sz w:val="24"/>
                <w:szCs w:val="24"/>
              </w:rPr>
              <w:t>Wnioskodawca lub partner dysponuje systemem informatycznym wspierającym realizację projektu.</w:t>
            </w:r>
          </w:p>
        </w:tc>
      </w:tr>
      <w:tr w:rsidR="009A123B" w:rsidRPr="00A216DC" w:rsidTr="00A216DC">
        <w:trPr>
          <w:trHeight w:val="248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lastRenderedPageBreak/>
              <w:t>Czy projekt spełnia wszystkie kryteria dostępu w zakresie spełniania których ION nie dopuszcza możliwości skierowaniu projektu do negocjacji?</w:t>
            </w:r>
          </w:p>
        </w:tc>
      </w:tr>
      <w:tr w:rsidR="009A123B" w:rsidRPr="00A216DC" w:rsidTr="00A216DC">
        <w:trPr>
          <w:trHeight w:val="370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□ Tak – wypełnić część C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□ Nie – uzasadnić i odrzucić projekt, wypełnić część C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□</w:t>
            </w:r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 Nie dotyczy</w:t>
            </w:r>
          </w:p>
        </w:tc>
      </w:tr>
      <w:tr w:rsidR="009A123B" w:rsidRPr="00A216DC" w:rsidTr="00A216DC">
        <w:trPr>
          <w:trHeight w:val="3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23B" w:rsidRPr="00A216DC" w:rsidRDefault="009A123B" w:rsidP="006A69A8">
            <w:pPr>
              <w:spacing w:before="120" w:after="12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Arial Unicode MS" w:hAnsi="Calibri" w:cs="Calibri"/>
                <w:sz w:val="24"/>
                <w:szCs w:val="24"/>
                <w:lang w:eastAsia="en-US"/>
              </w:rPr>
              <w:t>Czy projekt może zostać skierowany do negocjacji w zakresie spełniania kryteriów dostępu w odniesieniu do których ION dopuszcza możliwości skierowania projektu do negocjacji?</w:t>
            </w:r>
          </w:p>
        </w:tc>
      </w:tr>
      <w:tr w:rsidR="009A123B" w:rsidRPr="00A216DC" w:rsidTr="00A216DC">
        <w:trPr>
          <w:trHeight w:val="370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23B" w:rsidRPr="00A216DC" w:rsidRDefault="009A123B" w:rsidP="006A69A8">
            <w:pPr>
              <w:spacing w:before="120" w:after="120" w:line="276" w:lineRule="auto"/>
              <w:jc w:val="left"/>
              <w:rPr>
                <w:rFonts w:ascii="Calibri" w:eastAsia="Calibri" w:hAnsi="Calibri" w:cs="Calibri"/>
                <w:kern w:val="24"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kern w:val="24"/>
                <w:sz w:val="24"/>
                <w:szCs w:val="24"/>
                <w:lang w:eastAsia="en-US"/>
              </w:rPr>
              <w:t xml:space="preserve">□ </w:t>
            </w:r>
            <w:r w:rsidRPr="00A216DC">
              <w:rPr>
                <w:rFonts w:ascii="Calibri" w:eastAsia="Calibri" w:hAnsi="Calibri" w:cs="Calibri"/>
                <w:smallCaps/>
                <w:kern w:val="24"/>
                <w:sz w:val="24"/>
                <w:szCs w:val="24"/>
                <w:lang w:eastAsia="en-US"/>
              </w:rPr>
              <w:t>Tak – DO NEGOCJACJI wypełnić część C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23B" w:rsidRPr="00A216DC" w:rsidRDefault="009A123B" w:rsidP="006A69A8">
            <w:pPr>
              <w:spacing w:before="120" w:after="120" w:line="276" w:lineRule="auto"/>
              <w:jc w:val="left"/>
              <w:rPr>
                <w:rFonts w:ascii="Calibri" w:eastAsia="Calibri" w:hAnsi="Calibri" w:cs="Calibri"/>
                <w:kern w:val="24"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kern w:val="24"/>
                <w:sz w:val="24"/>
                <w:szCs w:val="24"/>
                <w:lang w:eastAsia="en-US"/>
              </w:rPr>
              <w:t xml:space="preserve">□ </w:t>
            </w:r>
            <w:r w:rsidRPr="00A216DC">
              <w:rPr>
                <w:rFonts w:ascii="Calibri" w:eastAsia="Calibri" w:hAnsi="Calibri" w:cs="Calibri"/>
                <w:smallCaps/>
                <w:kern w:val="24"/>
                <w:sz w:val="24"/>
                <w:szCs w:val="24"/>
                <w:lang w:eastAsia="en-US"/>
              </w:rPr>
              <w:t xml:space="preserve">Nie - </w:t>
            </w:r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uzasadnić i odrzucić projekt, wypełnić część C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23B" w:rsidRPr="00A216DC" w:rsidRDefault="009A123B" w:rsidP="006A69A8">
            <w:pPr>
              <w:spacing w:before="120" w:after="12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b/>
                <w:smallCaps/>
                <w:kern w:val="24"/>
                <w:sz w:val="24"/>
                <w:szCs w:val="24"/>
                <w:lang w:eastAsia="en-US"/>
              </w:rPr>
              <w:t>□</w:t>
            </w:r>
            <w:r w:rsidRPr="00A216DC">
              <w:rPr>
                <w:rFonts w:ascii="Calibri" w:eastAsia="Calibri" w:hAnsi="Calibri" w:cs="Calibri"/>
                <w:smallCaps/>
                <w:kern w:val="24"/>
                <w:sz w:val="24"/>
                <w:szCs w:val="24"/>
                <w:lang w:eastAsia="en-US"/>
              </w:rPr>
              <w:t xml:space="preserve"> Nie dotyczy*</w:t>
            </w:r>
          </w:p>
        </w:tc>
      </w:tr>
      <w:tr w:rsidR="009A123B" w:rsidRPr="00A216DC" w:rsidTr="00A216DC">
        <w:trPr>
          <w:trHeight w:val="21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123B" w:rsidRPr="00A216DC" w:rsidRDefault="009A123B" w:rsidP="006A69A8">
            <w:pPr>
              <w:spacing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  <w:tr w:rsidR="009A123B" w:rsidRPr="00A216DC" w:rsidTr="00A216DC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123B" w:rsidRPr="00A216DC" w:rsidRDefault="009A123B" w:rsidP="006A69A8">
            <w:pPr>
              <w:spacing w:before="120" w:after="120" w:line="276" w:lineRule="auto"/>
              <w:jc w:val="lef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 xml:space="preserve">UZASADNIENIE OCENY SPEŁNIANIA KRYTERIÓW DOSTĘPU (WYPEŁNIĆ W PRZYPADKU ZAZNACZENIA ODPOWIEDZI „NIE” w zakresie kryteriów bez możliwości skierowania projektu do negocjacji lub „TAK- DO NEGOCJACJI” lub NIE, w zakresie kryteriów z możliwością skierowania projektu do negocjacji). </w:t>
            </w:r>
          </w:p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W przypadku wyboru odp. „TAK- DO NEGOCJACJI” uzasadnienie z części B należy uwzględnić w części H karty trzeciego etapu oceny merytorycznej.</w:t>
            </w:r>
          </w:p>
          <w:p w:rsidR="009A123B" w:rsidRPr="00A216DC" w:rsidRDefault="009A123B" w:rsidP="006A69A8">
            <w:pPr>
              <w:spacing w:before="120" w:after="120" w:line="276" w:lineRule="auto"/>
              <w:jc w:val="lef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*</w:t>
            </w:r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W przypadku, gdy projekt nie wymaga skierowania do negocjacji w zakresie kryteriów dostępu w odniesieniu do których ION dopuściła możliwość skierowania do negocjacji należy wybrać odpowiedź NIE DOTYCZY </w:t>
            </w:r>
            <w:r w:rsidRPr="00A216DC">
              <w:rPr>
                <w:rFonts w:ascii="Calibri" w:eastAsia="Calibri" w:hAnsi="Calibri" w:cs="Calibri"/>
                <w:sz w:val="24"/>
                <w:szCs w:val="24"/>
                <w:u w:val="single"/>
                <w:lang w:eastAsia="en-US"/>
              </w:rPr>
              <w:t>oraz w polu UZASADNIENIE OCENY</w:t>
            </w:r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 zaznaczyć, iż projekt spełnia wszystkie kryteria dostępu dopuszczone przez ION do możliwości negocjacji. Odpowiedź NIE DOTYCZY ma także zastosowanie, gdy ION nie ustaliła kryteriów dostępu z możliwością ich negocjacji. Wówczas wybór odpowiedzi NIE DOTYCZY nie wymaga wypełnienia uzasadnienia.</w:t>
            </w:r>
            <w:r w:rsidRPr="00A216DC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:rsidR="000377B3" w:rsidRPr="00A216DC" w:rsidRDefault="000377B3" w:rsidP="006A69A8">
            <w:pPr>
              <w:spacing w:before="120" w:after="120" w:line="276" w:lineRule="auto"/>
              <w:jc w:val="lef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  <w:p w:rsidR="000377B3" w:rsidRPr="00A216DC" w:rsidRDefault="000377B3" w:rsidP="006A69A8">
            <w:pPr>
              <w:spacing w:before="120" w:after="120" w:line="276" w:lineRule="auto"/>
              <w:jc w:val="lef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A123B" w:rsidRPr="00A216DC" w:rsidTr="00A216DC">
        <w:trPr>
          <w:trHeight w:val="587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9A123B" w:rsidRPr="00A216DC" w:rsidRDefault="009A123B" w:rsidP="006A69A8">
            <w:pPr>
              <w:spacing w:before="120" w:after="120" w:line="276" w:lineRule="auto"/>
              <w:jc w:val="lef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CZĘŚĆ C. ETAP DRUGI OCENY MERYTORYCZNEJ - KRYTERIA HORYZONTALNE </w:t>
            </w:r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(każdorazowo zaznaczyć właściwe znakiem „X”)</w:t>
            </w:r>
          </w:p>
        </w:tc>
      </w:tr>
    </w:tbl>
    <w:p w:rsidR="00A216DC" w:rsidRPr="00A216DC" w:rsidRDefault="00A216DC" w:rsidP="00A216DC">
      <w:pPr>
        <w:rPr>
          <w:vanish/>
        </w:rPr>
      </w:pPr>
    </w:p>
    <w:tbl>
      <w:tblPr>
        <w:tblpPr w:leftFromText="141" w:rightFromText="141" w:vertAnchor="text" w:horzAnchor="margin" w:tblpX="-714" w:tblpY="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10"/>
        <w:gridCol w:w="15"/>
        <w:gridCol w:w="15"/>
        <w:gridCol w:w="15"/>
        <w:gridCol w:w="30"/>
        <w:gridCol w:w="2085"/>
        <w:gridCol w:w="980"/>
        <w:gridCol w:w="117"/>
        <w:gridCol w:w="838"/>
        <w:gridCol w:w="13"/>
        <w:gridCol w:w="167"/>
        <w:gridCol w:w="1455"/>
        <w:gridCol w:w="457"/>
        <w:gridCol w:w="67"/>
        <w:gridCol w:w="3524"/>
      </w:tblGrid>
      <w:tr w:rsidR="009A123B" w:rsidRPr="00A216DC" w:rsidTr="009A123B">
        <w:trPr>
          <w:trHeight w:val="61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0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Czy projekt należy do wyjątku, co do którego nie stosuje się standardu minimum?</w:t>
            </w:r>
          </w:p>
        </w:tc>
      </w:tr>
      <w:tr w:rsidR="009A123B" w:rsidRPr="00A216DC" w:rsidTr="009A123B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hAnsi="Calibri" w:cs="Calibri"/>
                <w:sz w:val="24"/>
                <w:szCs w:val="24"/>
                <w:lang w:eastAsia="ar-SA"/>
              </w:rPr>
              <w:t>□ Tak</w:t>
            </w:r>
            <w:r w:rsidRPr="00A216DC">
              <w:rPr>
                <w:rFonts w:ascii="Calibri" w:hAnsi="Calibri" w:cs="Calibri"/>
                <w:sz w:val="24"/>
                <w:szCs w:val="24"/>
                <w:lang w:eastAsia="ar-SA"/>
              </w:rPr>
              <w:tab/>
            </w:r>
          </w:p>
        </w:tc>
        <w:tc>
          <w:tcPr>
            <w:tcW w:w="5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hAnsi="Calibri" w:cs="Calibri"/>
                <w:sz w:val="24"/>
                <w:szCs w:val="24"/>
                <w:lang w:eastAsia="ar-SA"/>
              </w:rPr>
              <w:t>□ Nie</w:t>
            </w:r>
          </w:p>
        </w:tc>
      </w:tr>
      <w:tr w:rsidR="009A123B" w:rsidRPr="00A216DC" w:rsidTr="009A123B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0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9A123B" w:rsidRPr="00A216DC" w:rsidRDefault="009A123B" w:rsidP="006A69A8">
            <w:pPr>
              <w:suppressAutoHyphens/>
              <w:autoSpaceDE w:val="0"/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A216DC">
              <w:rPr>
                <w:rFonts w:ascii="Calibri" w:hAnsi="Calibri" w:cs="Calibri"/>
                <w:sz w:val="24"/>
                <w:szCs w:val="24"/>
                <w:lang w:eastAsia="ar-SA"/>
              </w:rPr>
              <w:t>Wyjątki, co do których nie stosuje się standardu minimum:</w:t>
            </w:r>
          </w:p>
          <w:p w:rsidR="009A123B" w:rsidRPr="00A216DC" w:rsidRDefault="009A123B" w:rsidP="006A69A8">
            <w:pPr>
              <w:numPr>
                <w:ilvl w:val="0"/>
                <w:numId w:val="11"/>
              </w:numPr>
              <w:suppressAutoHyphens/>
              <w:autoSpaceDE w:val="0"/>
              <w:spacing w:after="120" w:line="276" w:lineRule="auto"/>
              <w:ind w:left="714" w:hanging="357"/>
              <w:jc w:val="lef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A216DC">
              <w:rPr>
                <w:rFonts w:ascii="Calibri" w:hAnsi="Calibri" w:cs="Calibri"/>
                <w:sz w:val="24"/>
                <w:szCs w:val="24"/>
                <w:lang w:eastAsia="ar-SA"/>
              </w:rPr>
              <w:t>profil działalności beneficjenta (ograniczenia statutowe);</w:t>
            </w:r>
          </w:p>
          <w:p w:rsidR="009A123B" w:rsidRPr="00A216DC" w:rsidRDefault="009A123B" w:rsidP="006A69A8">
            <w:pPr>
              <w:numPr>
                <w:ilvl w:val="0"/>
                <w:numId w:val="11"/>
              </w:numPr>
              <w:suppressAutoHyphens/>
              <w:autoSpaceDE w:val="0"/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A216DC">
              <w:rPr>
                <w:rFonts w:ascii="Calibri" w:hAnsi="Calibri" w:cs="Calibri"/>
                <w:sz w:val="24"/>
                <w:szCs w:val="24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:rsidR="009A123B" w:rsidRPr="00A216DC" w:rsidRDefault="009A123B" w:rsidP="006A69A8">
            <w:pPr>
              <w:spacing w:after="12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hAnsi="Calibri" w:cs="Calibri"/>
                <w:sz w:val="24"/>
                <w:szCs w:val="24"/>
                <w:lang w:eastAsia="ar-SA"/>
              </w:rPr>
              <w:t>W przypadku projektów, które należą do wyjątków, beneficjentom zaleca się również planowanie działań zmierzających do przestrzegania zasady równości kobiet i mężczyzn, mimo że nie jest to przedmiotem oceny.</w:t>
            </w:r>
          </w:p>
        </w:tc>
      </w:tr>
      <w:tr w:rsidR="009A123B" w:rsidRPr="00A216DC" w:rsidTr="009A123B">
        <w:trPr>
          <w:trHeight w:val="37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0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hAnsi="Calibri" w:cs="Calibri"/>
                <w:sz w:val="24"/>
                <w:szCs w:val="24"/>
                <w:lang w:eastAsia="ar-SA"/>
              </w:rPr>
              <w:t>Standard minimum jest spełniony w przypadku uzyskania co najmniej 3 punktów za poniższe kryteria oceny.</w:t>
            </w:r>
          </w:p>
        </w:tc>
      </w:tr>
      <w:tr w:rsidR="009A123B" w:rsidRPr="00A216DC" w:rsidTr="009A123B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hAnsi="Calibri" w:cs="Calibri"/>
                <w:sz w:val="24"/>
                <w:szCs w:val="24"/>
                <w:lang w:eastAsia="ar-SA"/>
              </w:rPr>
              <w:t>We wniosku o dofinansowanie projektu zawarte zostały informacje, które potwierdzają istnienie (albo brak istniejących) barier równościowych w obszarze tematycznym interwencji i/lub zasięgu oddziaływania projektu.</w:t>
            </w:r>
          </w:p>
        </w:tc>
      </w:tr>
      <w:tr w:rsidR="009A123B" w:rsidRPr="00A216DC" w:rsidTr="00A216DC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hAnsi="Calibri" w:cs="Calibri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hAnsi="Calibri" w:cs="Calibri"/>
                <w:sz w:val="24"/>
                <w:szCs w:val="24"/>
                <w:lang w:eastAsia="ar-SA"/>
              </w:rPr>
              <w:t>□ 1</w:t>
            </w:r>
          </w:p>
        </w:tc>
      </w:tr>
      <w:tr w:rsidR="009A123B" w:rsidRPr="00A216DC" w:rsidTr="009A123B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hAnsi="Calibri" w:cs="Calibri"/>
                <w:sz w:val="24"/>
                <w:szCs w:val="24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9A123B" w:rsidRPr="00A216DC" w:rsidTr="00A216DC">
        <w:trPr>
          <w:trHeight w:val="34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3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hAnsi="Calibri" w:cs="Calibri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3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hAnsi="Calibri" w:cs="Calibri"/>
                <w:sz w:val="24"/>
                <w:szCs w:val="24"/>
                <w:lang w:eastAsia="ar-SA"/>
              </w:rPr>
              <w:t>□ 1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hAnsi="Calibri" w:cs="Calibri"/>
                <w:sz w:val="24"/>
                <w:szCs w:val="24"/>
                <w:lang w:eastAsia="ar-SA"/>
              </w:rPr>
              <w:t>□ 2</w:t>
            </w:r>
          </w:p>
        </w:tc>
      </w:tr>
      <w:tr w:rsidR="009A123B" w:rsidRPr="00A216DC" w:rsidTr="009A123B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7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hAnsi="Calibri" w:cs="Calibri"/>
                <w:sz w:val="24"/>
                <w:szCs w:val="24"/>
                <w:lang w:eastAsia="ar-SA"/>
              </w:rPr>
              <w:t>W przypadku stwierdzenia braku barier równościowych, wniosek o dofinansowanie projektu zawiera działania zapewniające przestrzeganie zasady równości kobiet i mężczyzn, tak aby na żadnym etapie realizacji projektu nie wystąpiły bariery równościowe.</w:t>
            </w:r>
          </w:p>
        </w:tc>
      </w:tr>
      <w:tr w:rsidR="009A123B" w:rsidRPr="00A216DC" w:rsidTr="00A216DC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3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hAnsi="Calibri" w:cs="Calibri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2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hAnsi="Calibri" w:cs="Calibri"/>
                <w:sz w:val="24"/>
                <w:szCs w:val="24"/>
                <w:lang w:eastAsia="ar-SA"/>
              </w:rPr>
              <w:t>□ 1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hAnsi="Calibri" w:cs="Calibri"/>
                <w:sz w:val="24"/>
                <w:szCs w:val="24"/>
                <w:lang w:eastAsia="ar-SA"/>
              </w:rPr>
              <w:t>□ 2</w:t>
            </w:r>
          </w:p>
        </w:tc>
      </w:tr>
      <w:tr w:rsidR="009A123B" w:rsidRPr="00A216DC" w:rsidTr="009A123B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7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hAnsi="Calibri" w:cs="Calibri"/>
                <w:sz w:val="24"/>
                <w:szCs w:val="24"/>
                <w:lang w:eastAsia="ar-SA"/>
              </w:rPr>
              <w:t>Wskaźniki realizacji projektu zostały podane w podziale na płeć</w:t>
            </w:r>
            <w:r w:rsidR="006A69A8" w:rsidRPr="00A216DC">
              <w:rPr>
                <w:rFonts w:ascii="Calibri" w:hAnsi="Calibri" w:cs="Calibri"/>
                <w:sz w:val="24"/>
                <w:szCs w:val="24"/>
                <w:lang w:eastAsia="ar-SA"/>
              </w:rPr>
              <w:t>.</w:t>
            </w:r>
          </w:p>
        </w:tc>
      </w:tr>
      <w:tr w:rsidR="009A123B" w:rsidRPr="00A216DC" w:rsidTr="00A216DC">
        <w:trPr>
          <w:trHeight w:val="20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6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hAnsi="Calibri" w:cs="Calibri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hAnsi="Calibri" w:cs="Calibri"/>
                <w:sz w:val="24"/>
                <w:szCs w:val="24"/>
                <w:lang w:eastAsia="ar-SA"/>
              </w:rPr>
              <w:t>□ 1</w:t>
            </w:r>
          </w:p>
        </w:tc>
      </w:tr>
      <w:tr w:rsidR="009A123B" w:rsidRPr="00A216DC" w:rsidTr="009A123B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7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hAnsi="Calibri" w:cs="Calibri"/>
                <w:sz w:val="24"/>
                <w:szCs w:val="24"/>
                <w:lang w:eastAsia="ar-SA"/>
              </w:rPr>
              <w:t>We wniosku o dofinansowanie projektu wskazano, jakie działania zostaną podjęte w celu zapewnienia równościowego zarządzania projektem.</w:t>
            </w:r>
          </w:p>
        </w:tc>
      </w:tr>
      <w:tr w:rsidR="009A123B" w:rsidRPr="00A216DC" w:rsidTr="00A216DC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hAnsi="Calibri" w:cs="Calibri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hAnsi="Calibri" w:cs="Calibri"/>
                <w:sz w:val="24"/>
                <w:szCs w:val="24"/>
                <w:lang w:eastAsia="ar-SA"/>
              </w:rPr>
              <w:t>□ 1</w:t>
            </w:r>
          </w:p>
        </w:tc>
      </w:tr>
      <w:tr w:rsidR="009A123B" w:rsidRPr="00A216DC" w:rsidTr="009A123B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0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1. Projekt jest zgodny ze Standardem minimum realizacji zasady równości kobiet i mężczyzn w ramach projektów współfinansowanych z EFS+, który został określony w Załączniku nr 1 do Wytycznych dotyczących zasad równościowych w ramach funduszy unijnych na lata 2021-2027.</w:t>
            </w:r>
          </w:p>
        </w:tc>
      </w:tr>
      <w:tr w:rsidR="009A123B" w:rsidRPr="00A216DC" w:rsidTr="00A216DC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□ Tak  </w:t>
            </w: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□ Do negocjacji</w:t>
            </w:r>
          </w:p>
        </w:tc>
        <w:tc>
          <w:tcPr>
            <w:tcW w:w="4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□ Nie – uzasadnić i odrzucić projekt</w:t>
            </w:r>
          </w:p>
        </w:tc>
      </w:tr>
    </w:tbl>
    <w:p w:rsidR="00A216DC" w:rsidRPr="00A216DC" w:rsidRDefault="00A216DC" w:rsidP="00A216DC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2352"/>
        <w:gridCol w:w="1843"/>
        <w:gridCol w:w="3969"/>
      </w:tblGrid>
      <w:tr w:rsidR="009A123B" w:rsidRPr="00A216DC" w:rsidTr="009A123B">
        <w:trPr>
          <w:trHeight w:val="261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2. Nie stwierdzono niezgodności zapisów wniosku o dofinansowanie projektu z zasadą równości szans i niedyskryminacji, określoną w art. 9 Rozporządzenia ogólnego oraz we wniosku o dofinansowanie projektu zadeklarowano dostępność wszystkich produktów projektu (które nie zostały uznane za neutralne) - zgodnie z załącznikiem nr 2 do Wytycznych dotyczących realizacji zasad równościowych w ramach funduszy unijnych na lata 2021-2027.</w:t>
            </w:r>
          </w:p>
        </w:tc>
      </w:tr>
      <w:tr w:rsidR="009A123B" w:rsidRPr="00A216DC" w:rsidTr="009A123B">
        <w:trPr>
          <w:trHeight w:val="58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□ Tak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□ Do negocjacji</w:t>
            </w:r>
          </w:p>
        </w:tc>
      </w:tr>
      <w:tr w:rsidR="009A123B" w:rsidRPr="00A216DC" w:rsidTr="009A123B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3. Projekt jest zgodny z zasadą zrównoważonego rozwoju, tj. zastosowane w nim będą rozwiązania proekologiczne takie jak np.: oszczędność energii i wody, powtórne wykorzystanie zasobów. W projekcie zadeklarowano stosowanie zasady „nie czyń poważnych szkód” środowisku (zasada DNSH).</w:t>
            </w:r>
          </w:p>
        </w:tc>
      </w:tr>
      <w:tr w:rsidR="009A123B" w:rsidRPr="00A216DC" w:rsidTr="009A123B">
        <w:trPr>
          <w:trHeight w:val="57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□ Tak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□ Do negocjacji</w:t>
            </w:r>
          </w:p>
        </w:tc>
      </w:tr>
      <w:tr w:rsidR="009A123B" w:rsidRPr="00A216DC" w:rsidTr="009A123B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A123B" w:rsidRPr="00A216DC" w:rsidRDefault="009A123B" w:rsidP="006A69A8">
            <w:pPr>
              <w:spacing w:after="12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4. </w:t>
            </w:r>
            <w:bookmarkStart w:id="2" w:name="_Hlk123649442"/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Projekt jest zgodny z Kartą Praw Podstawowych Unii Europejskiej z dnia 26 października 2012 r. (Dz. Urz. UE C 326 z 26.10.2012, str. 391), w zakresie odnoszącym się do sposobu realizacji i zakresu projektu. </w:t>
            </w:r>
          </w:p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bookmarkStart w:id="3" w:name="_Hlk122512737"/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Zgodność projektu z Kartą Praw Podstawowych Unii Europejskiej z dnia 26 października 2012 r., na etapie oceny wniosku należy rozumieć jako brak sprzeczności pomiędzy zapisami projektu a wymogami tego dokumentu lub stwierdzenie, że te wymagania są neutralne wobec zakresu i zawartości projektu. </w:t>
            </w:r>
            <w:bookmarkEnd w:id="3"/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Dla wnioskodawców i ocieniających mogą być pomocne Wytyczne Komisji Europejskiej dotyczące zapewnienia poszanowania Karty praw podstawowych Unii Europejskiej przy wdrażaniu europejskich funduszy strukturalnych i inwestycyjnych, w szczególności załącznik nr III.</w:t>
            </w:r>
            <w:bookmarkEnd w:id="2"/>
          </w:p>
        </w:tc>
      </w:tr>
      <w:tr w:rsidR="009A123B" w:rsidRPr="00A216DC" w:rsidTr="009A123B">
        <w:trPr>
          <w:trHeight w:val="57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□ Tak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□ Do negocjacji</w:t>
            </w:r>
          </w:p>
        </w:tc>
      </w:tr>
      <w:tr w:rsidR="009A123B" w:rsidRPr="00A216DC" w:rsidTr="009A123B">
        <w:trPr>
          <w:trHeight w:val="95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:rsidR="009A123B" w:rsidRPr="00A216DC" w:rsidRDefault="009A123B" w:rsidP="006A69A8">
            <w:pPr>
              <w:spacing w:after="12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5. </w:t>
            </w:r>
            <w:bookmarkStart w:id="4" w:name="_Hlk123649527"/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Projekt jest zgodny z Konwencją o Prawach Osób Niepełnosprawnych, sporządzoną w Nowym Jorku dnia 13 grudnia 2006 r. (Dz. U. z 2012 r. poz. 1169, z późn. zm.), w zakresie odnoszącym się do sposobu realizacji i zakresu projektu. </w:t>
            </w:r>
          </w:p>
          <w:p w:rsidR="009A123B" w:rsidRPr="00A216DC" w:rsidRDefault="009A123B" w:rsidP="006A69A8">
            <w:pPr>
              <w:spacing w:after="12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Zgodność projektu z Konwencją o Prawach Osób Niepełnosprawnych, na etapie oceny wniosku należy rozumieć jako brak sprzeczności pomiędzy zapisami projektu a wymogami tego dokumentu lub stwierdzenie, że te wymagania są neutralne wobec zakresu i zawartości projektu.</w:t>
            </w:r>
            <w:bookmarkEnd w:id="4"/>
          </w:p>
        </w:tc>
      </w:tr>
      <w:tr w:rsidR="009A123B" w:rsidRPr="00A216DC" w:rsidTr="009A123B">
        <w:trPr>
          <w:trHeight w:val="57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lastRenderedPageBreak/>
              <w:t xml:space="preserve">□ Tak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□ Do negocjacji</w:t>
            </w:r>
          </w:p>
        </w:tc>
      </w:tr>
      <w:tr w:rsidR="009A123B" w:rsidRPr="00A216DC" w:rsidTr="009A123B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6.  W trakcie oceny nie stwierdzono niezgodności z prawodawstwem krajowym w zakresie odnoszącym się do sposobu realizacji i zakresu projektu oraz wnioskodawcy.</w:t>
            </w:r>
          </w:p>
        </w:tc>
      </w:tr>
      <w:tr w:rsidR="009A123B" w:rsidRPr="00A216DC" w:rsidTr="009A123B">
        <w:trPr>
          <w:trHeight w:val="57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□ Tak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□ Nie – uzasadnić i odrzucić projekt</w:t>
            </w:r>
          </w:p>
        </w:tc>
      </w:tr>
      <w:tr w:rsidR="009A123B" w:rsidRPr="00A216DC" w:rsidTr="009A123B">
        <w:trPr>
          <w:trHeight w:val="45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bCs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Czy projekt spełnia wszystkie kryteria horyzontalne?</w:t>
            </w:r>
          </w:p>
        </w:tc>
      </w:tr>
      <w:tr w:rsidR="009A123B" w:rsidRPr="00A216DC" w:rsidTr="009A123B">
        <w:trPr>
          <w:trHeight w:val="39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□ Tak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□ Nie – uzasadnić i odrzucić projekt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□ Do negocjacji</w:t>
            </w:r>
          </w:p>
        </w:tc>
      </w:tr>
      <w:tr w:rsidR="009A123B" w:rsidRPr="00A216DC" w:rsidTr="009A123B">
        <w:trPr>
          <w:trHeight w:val="210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6E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UZASADNIENIE OCENY SPEŁNIANIA KRYTERIÓW HORYZONTALNYCH (WYPEŁNIĆ W PRZYPADKU ZAZNACZENIA ODPOWIEDZI „NIE” lub „DO NEGOCJACJI” powyżej).</w:t>
            </w:r>
          </w:p>
          <w:p w:rsidR="009A123B" w:rsidRPr="00A216DC" w:rsidRDefault="009A123B" w:rsidP="006A69A8">
            <w:pPr>
              <w:spacing w:after="200" w:line="276" w:lineRule="auto"/>
              <w:jc w:val="lef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A216DC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W przypadku spełnienia przez projekt warunków przystąpienia do negocjacji uzasadnienie z części C należy uwzględnić w części H karty trzeciego etapu oceny merytorycznej.</w:t>
            </w:r>
          </w:p>
        </w:tc>
      </w:tr>
    </w:tbl>
    <w:p w:rsidR="009A123B" w:rsidRDefault="009A123B" w:rsidP="009660FA"/>
    <w:tbl>
      <w:tblPr>
        <w:tblpPr w:leftFromText="141" w:rightFromText="141" w:vertAnchor="text" w:horzAnchor="margin" w:tblpY="385"/>
        <w:tblW w:w="376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5"/>
        <w:gridCol w:w="2000"/>
      </w:tblGrid>
      <w:tr w:rsidR="00A22129" w:rsidTr="009A123B">
        <w:trPr>
          <w:trHeight w:val="251"/>
        </w:trPr>
        <w:tc>
          <w:tcPr>
            <w:tcW w:w="3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2129" w:rsidRDefault="00A22129" w:rsidP="0049472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49472F" w:rsidRDefault="0049472F" w:rsidP="0049472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A22129" w:rsidRDefault="00A22129" w:rsidP="0049472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.....................................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2129" w:rsidRDefault="00A22129" w:rsidP="0049472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49472F" w:rsidRDefault="0049472F" w:rsidP="0049472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A22129" w:rsidRDefault="00A22129" w:rsidP="0049472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.................................</w:t>
            </w:r>
          </w:p>
        </w:tc>
      </w:tr>
      <w:tr w:rsidR="00A22129" w:rsidTr="009A123B">
        <w:trPr>
          <w:trHeight w:val="251"/>
        </w:trPr>
        <w:tc>
          <w:tcPr>
            <w:tcW w:w="3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2129" w:rsidRDefault="00A22129" w:rsidP="0049472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>podpis oceniającego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2129" w:rsidRDefault="00A22129" w:rsidP="0049472F">
            <w:pPr>
              <w:spacing w:line="276" w:lineRule="auto"/>
              <w:ind w:left="70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>data</w:t>
            </w:r>
          </w:p>
        </w:tc>
      </w:tr>
    </w:tbl>
    <w:p w:rsidR="009A123B" w:rsidRDefault="009A123B" w:rsidP="009A123B">
      <w:pPr>
        <w:tabs>
          <w:tab w:val="left" w:pos="3270"/>
        </w:tabs>
        <w:rPr>
          <w:rFonts w:ascii="Calibri" w:hAnsi="Calibri" w:cs="Calibri"/>
          <w:sz w:val="24"/>
          <w:szCs w:val="24"/>
        </w:rPr>
      </w:pPr>
    </w:p>
    <w:sectPr w:rsidR="009A123B" w:rsidSect="006A69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7" w:bottom="1701" w:left="1417" w:header="1702" w:footer="7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3CF" w:rsidRDefault="001963CF" w:rsidP="00E973A9">
      <w:pPr>
        <w:spacing w:line="240" w:lineRule="auto"/>
      </w:pPr>
      <w:r>
        <w:separator/>
      </w:r>
    </w:p>
  </w:endnote>
  <w:endnote w:type="continuationSeparator" w:id="0">
    <w:p w:rsidR="001963CF" w:rsidRDefault="001963CF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Novel Pro"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3F6" w:rsidRDefault="00D433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3F6" w:rsidRDefault="00D433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3F6" w:rsidRDefault="00D433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3CF" w:rsidRDefault="001963CF" w:rsidP="00E973A9">
      <w:pPr>
        <w:spacing w:line="240" w:lineRule="auto"/>
      </w:pPr>
      <w:r>
        <w:separator/>
      </w:r>
    </w:p>
  </w:footnote>
  <w:footnote w:type="continuationSeparator" w:id="0">
    <w:p w:rsidR="001963CF" w:rsidRDefault="001963CF" w:rsidP="00E973A9">
      <w:pPr>
        <w:spacing w:line="240" w:lineRule="auto"/>
      </w:pPr>
      <w:r>
        <w:continuationSeparator/>
      </w:r>
    </w:p>
  </w:footnote>
  <w:footnote w:id="1">
    <w:p w:rsidR="009A123B" w:rsidRPr="00A216DC" w:rsidRDefault="009A123B" w:rsidP="00E86C00">
      <w:pPr>
        <w:spacing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A216DC">
        <w:rPr>
          <w:rStyle w:val="Odwoanieprzypisudolnego"/>
          <w:rFonts w:ascii="Calibri" w:hAnsi="Calibri" w:cs="Calibri"/>
          <w:sz w:val="22"/>
          <w:szCs w:val="24"/>
        </w:rPr>
        <w:footnoteRef/>
      </w:r>
      <w:r w:rsidRPr="00A216DC">
        <w:rPr>
          <w:rFonts w:ascii="Calibri" w:hAnsi="Calibri" w:cs="Calibri"/>
          <w:sz w:val="22"/>
          <w:szCs w:val="24"/>
        </w:rPr>
        <w:t xml:space="preserve"> Jeśli ION zadecyduje o możliwości uzupełniania lub poprawiania projektu w części dotyczącej spełniania kryterium w Rocznym Planie Działania i regulaminie wyboru projektów oraz określi warunki dopuszczające do uzupełniania wniosku w części dotyczącej spełniania kryterium dostępu, uzupełnieniu/poprawie podlegają projekty spełniające te warunki. Zakres dopuszczalnych zmian dot. spełniania kryterium jest opisany w stanowisku negocjacyjnym i regulaminie wyboru projektów. Możliwe jest również stwierdzenie, że kryterium nie dotyczy danego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3F6" w:rsidRDefault="00D433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2FC" w:rsidRPr="00CF7259" w:rsidRDefault="00E076DF" w:rsidP="00CF7259">
    <w:pPr>
      <w:pStyle w:val="Nagwek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-623570</wp:posOffset>
          </wp:positionV>
          <wp:extent cx="5762625" cy="523875"/>
          <wp:effectExtent l="0" t="0" r="0" b="0"/>
          <wp:wrapNone/>
          <wp:docPr id="3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32FC">
      <w:fldChar w:fldCharType="begin"/>
    </w:r>
    <w:r w:rsidR="009732FC">
      <w:instrText>PAGE   \* MERGEFORMAT</w:instrText>
    </w:r>
    <w:r w:rsidR="009732FC">
      <w:fldChar w:fldCharType="separate"/>
    </w:r>
    <w:r w:rsidR="009732FC">
      <w:t>2</w:t>
    </w:r>
    <w:r w:rsidR="009732FC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2FC" w:rsidRDefault="009732FC">
    <w:pPr>
      <w:pStyle w:val="Nagwek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7A654B" w:rsidRDefault="007A65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E78FF"/>
    <w:multiLevelType w:val="hybridMultilevel"/>
    <w:tmpl w:val="5D96DC06"/>
    <w:lvl w:ilvl="0" w:tplc="5ED8FBD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5AC93C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4C2422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5C7164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90C914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50CA7C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2A31F0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B688A2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EEBA46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A71728"/>
    <w:multiLevelType w:val="hybridMultilevel"/>
    <w:tmpl w:val="37506B68"/>
    <w:lvl w:ilvl="0" w:tplc="0415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F0B5A82"/>
    <w:multiLevelType w:val="hybridMultilevel"/>
    <w:tmpl w:val="0C92B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14973"/>
    <w:multiLevelType w:val="hybridMultilevel"/>
    <w:tmpl w:val="F342EE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458A8"/>
    <w:multiLevelType w:val="hybridMultilevel"/>
    <w:tmpl w:val="B714F9B8"/>
    <w:lvl w:ilvl="0" w:tplc="0415000F">
      <w:start w:val="1"/>
      <w:numFmt w:val="decimal"/>
      <w:lvlText w:val="%1.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96A0B"/>
    <w:multiLevelType w:val="hybridMultilevel"/>
    <w:tmpl w:val="A70C05E8"/>
    <w:lvl w:ilvl="0" w:tplc="169CDBEE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0D560F"/>
    <w:multiLevelType w:val="hybridMultilevel"/>
    <w:tmpl w:val="78000602"/>
    <w:lvl w:ilvl="0" w:tplc="E1843196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B492F8">
      <w:start w:val="1"/>
      <w:numFmt w:val="lowerLetter"/>
      <w:lvlText w:val="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E47132">
      <w:start w:val="1"/>
      <w:numFmt w:val="lowerRoman"/>
      <w:lvlText w:val="%3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FA4C08">
      <w:start w:val="1"/>
      <w:numFmt w:val="decimal"/>
      <w:lvlText w:val="%4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8423AC">
      <w:start w:val="1"/>
      <w:numFmt w:val="lowerLetter"/>
      <w:lvlText w:val="%5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D466D0">
      <w:start w:val="1"/>
      <w:numFmt w:val="lowerRoman"/>
      <w:lvlText w:val="%6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3E6106">
      <w:start w:val="1"/>
      <w:numFmt w:val="decimal"/>
      <w:lvlText w:val="%7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68C6E">
      <w:start w:val="1"/>
      <w:numFmt w:val="lowerLetter"/>
      <w:lvlText w:val="%8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5A53C6">
      <w:start w:val="1"/>
      <w:numFmt w:val="lowerRoman"/>
      <w:lvlText w:val="%9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20FF4"/>
    <w:multiLevelType w:val="hybridMultilevel"/>
    <w:tmpl w:val="9B62ACBC"/>
    <w:lvl w:ilvl="0" w:tplc="04150011">
      <w:start w:val="1"/>
      <w:numFmt w:val="decimal"/>
      <w:lvlText w:val="%1)"/>
      <w:lvlJc w:val="left"/>
      <w:pPr>
        <w:ind w:left="1430" w:hanging="360"/>
      </w:pPr>
      <w:rPr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B6D2D62"/>
    <w:multiLevelType w:val="hybridMultilevel"/>
    <w:tmpl w:val="A08E1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981163"/>
    <w:multiLevelType w:val="hybridMultilevel"/>
    <w:tmpl w:val="D9AE915C"/>
    <w:lvl w:ilvl="0" w:tplc="041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C09D1"/>
    <w:multiLevelType w:val="hybridMultilevel"/>
    <w:tmpl w:val="2486A568"/>
    <w:lvl w:ilvl="0" w:tplc="13DE8114">
      <w:start w:val="1"/>
      <w:numFmt w:val="lowerLetter"/>
      <w:lvlText w:val="%1)"/>
      <w:lvlJc w:val="left"/>
      <w:pPr>
        <w:ind w:left="36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F92C81"/>
    <w:multiLevelType w:val="hybridMultilevel"/>
    <w:tmpl w:val="0576DE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9F1D9F"/>
    <w:multiLevelType w:val="hybridMultilevel"/>
    <w:tmpl w:val="4DA4DB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8D254F"/>
    <w:multiLevelType w:val="hybridMultilevel"/>
    <w:tmpl w:val="E18EC6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572B7"/>
    <w:multiLevelType w:val="hybridMultilevel"/>
    <w:tmpl w:val="3348A9FA"/>
    <w:lvl w:ilvl="0" w:tplc="0415000F">
      <w:start w:val="1"/>
      <w:numFmt w:val="decimal"/>
      <w:lvlText w:val="%1.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0" w15:restartNumberingAfterBreak="0">
    <w:nsid w:val="5B0D52AC"/>
    <w:multiLevelType w:val="hybridMultilevel"/>
    <w:tmpl w:val="F2787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6E2E37"/>
    <w:multiLevelType w:val="hybridMultilevel"/>
    <w:tmpl w:val="23DAD0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9A2B36"/>
    <w:multiLevelType w:val="hybridMultilevel"/>
    <w:tmpl w:val="56DA77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40A64"/>
    <w:multiLevelType w:val="hybridMultilevel"/>
    <w:tmpl w:val="BE8453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1"/>
  </w:num>
  <w:num w:numId="4">
    <w:abstractNumId w:val="23"/>
  </w:num>
  <w:num w:numId="5">
    <w:abstractNumId w:val="14"/>
  </w:num>
  <w:num w:numId="6">
    <w:abstractNumId w:val="5"/>
  </w:num>
  <w:num w:numId="7">
    <w:abstractNumId w:val="7"/>
  </w:num>
  <w:num w:numId="8">
    <w:abstractNumId w:val="0"/>
  </w:num>
  <w:num w:numId="9">
    <w:abstractNumId w:val="17"/>
  </w:num>
  <w:num w:numId="10">
    <w:abstractNumId w:val="1"/>
  </w:num>
  <w:num w:numId="11">
    <w:abstractNumId w:val="12"/>
  </w:num>
  <w:num w:numId="12">
    <w:abstractNumId w:val="19"/>
  </w:num>
  <w:num w:numId="13">
    <w:abstractNumId w:val="3"/>
  </w:num>
  <w:num w:numId="14">
    <w:abstractNumId w:val="11"/>
  </w:num>
  <w:num w:numId="15">
    <w:abstractNumId w:val="20"/>
  </w:num>
  <w:num w:numId="16">
    <w:abstractNumId w:val="2"/>
  </w:num>
  <w:num w:numId="17">
    <w:abstractNumId w:val="24"/>
  </w:num>
  <w:num w:numId="18">
    <w:abstractNumId w:val="13"/>
  </w:num>
  <w:num w:numId="19">
    <w:abstractNumId w:val="4"/>
  </w:num>
  <w:num w:numId="20">
    <w:abstractNumId w:val="9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76D"/>
    <w:rsid w:val="00006D7A"/>
    <w:rsid w:val="0002255B"/>
    <w:rsid w:val="00024536"/>
    <w:rsid w:val="00025209"/>
    <w:rsid w:val="000348C5"/>
    <w:rsid w:val="000377B3"/>
    <w:rsid w:val="00051FDD"/>
    <w:rsid w:val="00067B31"/>
    <w:rsid w:val="00071919"/>
    <w:rsid w:val="000906CF"/>
    <w:rsid w:val="00090DAC"/>
    <w:rsid w:val="0009457A"/>
    <w:rsid w:val="000B608F"/>
    <w:rsid w:val="000C1ED0"/>
    <w:rsid w:val="000C4BB9"/>
    <w:rsid w:val="000C5F3D"/>
    <w:rsid w:val="000E25E6"/>
    <w:rsid w:val="000F1EA3"/>
    <w:rsid w:val="000F5972"/>
    <w:rsid w:val="00103C0A"/>
    <w:rsid w:val="00116902"/>
    <w:rsid w:val="0013268F"/>
    <w:rsid w:val="001464CC"/>
    <w:rsid w:val="001612A1"/>
    <w:rsid w:val="00161F29"/>
    <w:rsid w:val="001659D6"/>
    <w:rsid w:val="00167729"/>
    <w:rsid w:val="001743BB"/>
    <w:rsid w:val="00181D01"/>
    <w:rsid w:val="00181FFF"/>
    <w:rsid w:val="001963CF"/>
    <w:rsid w:val="001A4FB8"/>
    <w:rsid w:val="001B3916"/>
    <w:rsid w:val="001C1EC5"/>
    <w:rsid w:val="001C5402"/>
    <w:rsid w:val="001C5BA7"/>
    <w:rsid w:val="001D4722"/>
    <w:rsid w:val="001D625A"/>
    <w:rsid w:val="001E45C3"/>
    <w:rsid w:val="001F6D90"/>
    <w:rsid w:val="00213BB2"/>
    <w:rsid w:val="002341EF"/>
    <w:rsid w:val="00241955"/>
    <w:rsid w:val="00266C51"/>
    <w:rsid w:val="00267F27"/>
    <w:rsid w:val="00270867"/>
    <w:rsid w:val="00270B5C"/>
    <w:rsid w:val="0027250F"/>
    <w:rsid w:val="00274530"/>
    <w:rsid w:val="002776B7"/>
    <w:rsid w:val="00281EC0"/>
    <w:rsid w:val="00297A47"/>
    <w:rsid w:val="002A1F2F"/>
    <w:rsid w:val="002A28C1"/>
    <w:rsid w:val="002B3A11"/>
    <w:rsid w:val="002B426D"/>
    <w:rsid w:val="002C2FDC"/>
    <w:rsid w:val="002C41B0"/>
    <w:rsid w:val="002D77E9"/>
    <w:rsid w:val="002F1D69"/>
    <w:rsid w:val="0030062C"/>
    <w:rsid w:val="00316580"/>
    <w:rsid w:val="00321E1C"/>
    <w:rsid w:val="00345FBF"/>
    <w:rsid w:val="003505EC"/>
    <w:rsid w:val="00353C9F"/>
    <w:rsid w:val="00375C2B"/>
    <w:rsid w:val="003856B0"/>
    <w:rsid w:val="00387705"/>
    <w:rsid w:val="00394F00"/>
    <w:rsid w:val="003A2E53"/>
    <w:rsid w:val="003A2EB1"/>
    <w:rsid w:val="003B5649"/>
    <w:rsid w:val="003C1150"/>
    <w:rsid w:val="003C21B8"/>
    <w:rsid w:val="003C3649"/>
    <w:rsid w:val="003C58B9"/>
    <w:rsid w:val="003D2590"/>
    <w:rsid w:val="003D59FE"/>
    <w:rsid w:val="003E3183"/>
    <w:rsid w:val="003E5136"/>
    <w:rsid w:val="003F3CD8"/>
    <w:rsid w:val="003F7584"/>
    <w:rsid w:val="00403291"/>
    <w:rsid w:val="00412979"/>
    <w:rsid w:val="00414A66"/>
    <w:rsid w:val="00417D6E"/>
    <w:rsid w:val="00421C8F"/>
    <w:rsid w:val="00433785"/>
    <w:rsid w:val="00437C98"/>
    <w:rsid w:val="0044175C"/>
    <w:rsid w:val="004429B8"/>
    <w:rsid w:val="0044407F"/>
    <w:rsid w:val="00473910"/>
    <w:rsid w:val="0047736B"/>
    <w:rsid w:val="00487ED6"/>
    <w:rsid w:val="0049472F"/>
    <w:rsid w:val="004A44E7"/>
    <w:rsid w:val="004A50E6"/>
    <w:rsid w:val="004B291E"/>
    <w:rsid w:val="004B4F53"/>
    <w:rsid w:val="004C0478"/>
    <w:rsid w:val="004C327E"/>
    <w:rsid w:val="004D2DBB"/>
    <w:rsid w:val="004D5CC4"/>
    <w:rsid w:val="004E0CEA"/>
    <w:rsid w:val="004F331A"/>
    <w:rsid w:val="004F556C"/>
    <w:rsid w:val="005040AF"/>
    <w:rsid w:val="0050736A"/>
    <w:rsid w:val="00507C31"/>
    <w:rsid w:val="005235DD"/>
    <w:rsid w:val="005338BF"/>
    <w:rsid w:val="005345DC"/>
    <w:rsid w:val="005345E6"/>
    <w:rsid w:val="005360E1"/>
    <w:rsid w:val="00537278"/>
    <w:rsid w:val="00537677"/>
    <w:rsid w:val="00556EDB"/>
    <w:rsid w:val="005611EA"/>
    <w:rsid w:val="00564A09"/>
    <w:rsid w:val="0056516E"/>
    <w:rsid w:val="00565875"/>
    <w:rsid w:val="00574143"/>
    <w:rsid w:val="0058128A"/>
    <w:rsid w:val="005867D8"/>
    <w:rsid w:val="0059715E"/>
    <w:rsid w:val="005A0549"/>
    <w:rsid w:val="005A79D8"/>
    <w:rsid w:val="005B1100"/>
    <w:rsid w:val="005B253E"/>
    <w:rsid w:val="005B2E27"/>
    <w:rsid w:val="005B79C2"/>
    <w:rsid w:val="005C24CC"/>
    <w:rsid w:val="005C465F"/>
    <w:rsid w:val="005D23AD"/>
    <w:rsid w:val="005F6727"/>
    <w:rsid w:val="0060748B"/>
    <w:rsid w:val="006218A0"/>
    <w:rsid w:val="006225D3"/>
    <w:rsid w:val="00627D13"/>
    <w:rsid w:val="00635185"/>
    <w:rsid w:val="00641AE2"/>
    <w:rsid w:val="006510C6"/>
    <w:rsid w:val="00653603"/>
    <w:rsid w:val="006652CE"/>
    <w:rsid w:val="00671867"/>
    <w:rsid w:val="00673840"/>
    <w:rsid w:val="0067532B"/>
    <w:rsid w:val="00680649"/>
    <w:rsid w:val="00687877"/>
    <w:rsid w:val="006939C1"/>
    <w:rsid w:val="00695F6A"/>
    <w:rsid w:val="006A55E3"/>
    <w:rsid w:val="006A69A8"/>
    <w:rsid w:val="006B11A5"/>
    <w:rsid w:val="006B3866"/>
    <w:rsid w:val="006B6713"/>
    <w:rsid w:val="006B77E8"/>
    <w:rsid w:val="006C22DE"/>
    <w:rsid w:val="006C6BD6"/>
    <w:rsid w:val="006C7C38"/>
    <w:rsid w:val="006E22C9"/>
    <w:rsid w:val="006E3726"/>
    <w:rsid w:val="006E699B"/>
    <w:rsid w:val="006F6885"/>
    <w:rsid w:val="00736214"/>
    <w:rsid w:val="00756BCF"/>
    <w:rsid w:val="00760ED6"/>
    <w:rsid w:val="00761686"/>
    <w:rsid w:val="00763874"/>
    <w:rsid w:val="007824E2"/>
    <w:rsid w:val="007904AD"/>
    <w:rsid w:val="007919FC"/>
    <w:rsid w:val="007A003B"/>
    <w:rsid w:val="007A654B"/>
    <w:rsid w:val="007B11C4"/>
    <w:rsid w:val="007C047F"/>
    <w:rsid w:val="007C1DCC"/>
    <w:rsid w:val="007D07E2"/>
    <w:rsid w:val="007D22F3"/>
    <w:rsid w:val="007D569D"/>
    <w:rsid w:val="007E32FA"/>
    <w:rsid w:val="007F3C8F"/>
    <w:rsid w:val="007F5215"/>
    <w:rsid w:val="008025A6"/>
    <w:rsid w:val="0081568A"/>
    <w:rsid w:val="00815E6B"/>
    <w:rsid w:val="00817719"/>
    <w:rsid w:val="00823830"/>
    <w:rsid w:val="00823839"/>
    <w:rsid w:val="00832577"/>
    <w:rsid w:val="00832BC0"/>
    <w:rsid w:val="00842FA0"/>
    <w:rsid w:val="0084769A"/>
    <w:rsid w:val="008569A8"/>
    <w:rsid w:val="00886C44"/>
    <w:rsid w:val="00893A36"/>
    <w:rsid w:val="008A7C0E"/>
    <w:rsid w:val="008B0265"/>
    <w:rsid w:val="008C296B"/>
    <w:rsid w:val="008C2A4D"/>
    <w:rsid w:val="008C7394"/>
    <w:rsid w:val="008D02ED"/>
    <w:rsid w:val="008D4692"/>
    <w:rsid w:val="008D6932"/>
    <w:rsid w:val="008D71A4"/>
    <w:rsid w:val="008D7B22"/>
    <w:rsid w:val="008E1C1F"/>
    <w:rsid w:val="00914371"/>
    <w:rsid w:val="00916F1B"/>
    <w:rsid w:val="00924B10"/>
    <w:rsid w:val="0092517D"/>
    <w:rsid w:val="009275D8"/>
    <w:rsid w:val="00931A11"/>
    <w:rsid w:val="00932595"/>
    <w:rsid w:val="00953162"/>
    <w:rsid w:val="009660FA"/>
    <w:rsid w:val="009732FC"/>
    <w:rsid w:val="00977522"/>
    <w:rsid w:val="00982DB7"/>
    <w:rsid w:val="00984C7F"/>
    <w:rsid w:val="00985164"/>
    <w:rsid w:val="00992602"/>
    <w:rsid w:val="009926CB"/>
    <w:rsid w:val="00992A2A"/>
    <w:rsid w:val="00994DA4"/>
    <w:rsid w:val="009A123B"/>
    <w:rsid w:val="009D0474"/>
    <w:rsid w:val="009D2C3A"/>
    <w:rsid w:val="009E078E"/>
    <w:rsid w:val="009E1301"/>
    <w:rsid w:val="009F31E3"/>
    <w:rsid w:val="009F4A0A"/>
    <w:rsid w:val="009F6825"/>
    <w:rsid w:val="009F7458"/>
    <w:rsid w:val="00A0611A"/>
    <w:rsid w:val="00A10115"/>
    <w:rsid w:val="00A14CFC"/>
    <w:rsid w:val="00A216DC"/>
    <w:rsid w:val="00A22129"/>
    <w:rsid w:val="00A22922"/>
    <w:rsid w:val="00A22FCB"/>
    <w:rsid w:val="00A24C1D"/>
    <w:rsid w:val="00A326DD"/>
    <w:rsid w:val="00A41063"/>
    <w:rsid w:val="00A410C2"/>
    <w:rsid w:val="00A47AA8"/>
    <w:rsid w:val="00A572B1"/>
    <w:rsid w:val="00A7755D"/>
    <w:rsid w:val="00A81AB5"/>
    <w:rsid w:val="00A9694A"/>
    <w:rsid w:val="00AA2FF9"/>
    <w:rsid w:val="00AA4384"/>
    <w:rsid w:val="00AA5C8D"/>
    <w:rsid w:val="00AC7250"/>
    <w:rsid w:val="00AD3753"/>
    <w:rsid w:val="00AE34CD"/>
    <w:rsid w:val="00AF021F"/>
    <w:rsid w:val="00AF5170"/>
    <w:rsid w:val="00B32D4C"/>
    <w:rsid w:val="00B34F9A"/>
    <w:rsid w:val="00B44F88"/>
    <w:rsid w:val="00B5061A"/>
    <w:rsid w:val="00B53288"/>
    <w:rsid w:val="00B85769"/>
    <w:rsid w:val="00BC2507"/>
    <w:rsid w:val="00BC27C4"/>
    <w:rsid w:val="00BC48D6"/>
    <w:rsid w:val="00BD1DCD"/>
    <w:rsid w:val="00BE0BCA"/>
    <w:rsid w:val="00BE5A2C"/>
    <w:rsid w:val="00BF366E"/>
    <w:rsid w:val="00BF7EB0"/>
    <w:rsid w:val="00C40CD2"/>
    <w:rsid w:val="00C44592"/>
    <w:rsid w:val="00C44A8F"/>
    <w:rsid w:val="00C44EA3"/>
    <w:rsid w:val="00C70087"/>
    <w:rsid w:val="00C71297"/>
    <w:rsid w:val="00C84705"/>
    <w:rsid w:val="00C87514"/>
    <w:rsid w:val="00C92455"/>
    <w:rsid w:val="00CC7FA1"/>
    <w:rsid w:val="00CD0DD2"/>
    <w:rsid w:val="00CD364C"/>
    <w:rsid w:val="00CE29EB"/>
    <w:rsid w:val="00CE61D6"/>
    <w:rsid w:val="00CF5B91"/>
    <w:rsid w:val="00CF7259"/>
    <w:rsid w:val="00CF74F5"/>
    <w:rsid w:val="00D0012B"/>
    <w:rsid w:val="00D07B4C"/>
    <w:rsid w:val="00D16806"/>
    <w:rsid w:val="00D23058"/>
    <w:rsid w:val="00D31D52"/>
    <w:rsid w:val="00D33587"/>
    <w:rsid w:val="00D348CC"/>
    <w:rsid w:val="00D36CBB"/>
    <w:rsid w:val="00D433F6"/>
    <w:rsid w:val="00D57831"/>
    <w:rsid w:val="00D64A56"/>
    <w:rsid w:val="00D80CCC"/>
    <w:rsid w:val="00D824CF"/>
    <w:rsid w:val="00D87743"/>
    <w:rsid w:val="00D911DC"/>
    <w:rsid w:val="00D94655"/>
    <w:rsid w:val="00DA3391"/>
    <w:rsid w:val="00DA52DE"/>
    <w:rsid w:val="00DA6C73"/>
    <w:rsid w:val="00DC4354"/>
    <w:rsid w:val="00DD720B"/>
    <w:rsid w:val="00DE22F1"/>
    <w:rsid w:val="00DE38A6"/>
    <w:rsid w:val="00DF018E"/>
    <w:rsid w:val="00DF0266"/>
    <w:rsid w:val="00E02564"/>
    <w:rsid w:val="00E076DF"/>
    <w:rsid w:val="00E16956"/>
    <w:rsid w:val="00E228E4"/>
    <w:rsid w:val="00E22D88"/>
    <w:rsid w:val="00E31707"/>
    <w:rsid w:val="00E33BF2"/>
    <w:rsid w:val="00E40B5D"/>
    <w:rsid w:val="00E45B11"/>
    <w:rsid w:val="00E47F26"/>
    <w:rsid w:val="00E5723D"/>
    <w:rsid w:val="00E5769F"/>
    <w:rsid w:val="00E61FA6"/>
    <w:rsid w:val="00E732A2"/>
    <w:rsid w:val="00E80F32"/>
    <w:rsid w:val="00E80F7B"/>
    <w:rsid w:val="00E86C00"/>
    <w:rsid w:val="00E94206"/>
    <w:rsid w:val="00E971A5"/>
    <w:rsid w:val="00E973A9"/>
    <w:rsid w:val="00EA5E18"/>
    <w:rsid w:val="00EB6756"/>
    <w:rsid w:val="00EC2766"/>
    <w:rsid w:val="00EC7BA2"/>
    <w:rsid w:val="00ED41F6"/>
    <w:rsid w:val="00EE1B4E"/>
    <w:rsid w:val="00EE2740"/>
    <w:rsid w:val="00EF0C18"/>
    <w:rsid w:val="00EF1BB0"/>
    <w:rsid w:val="00F002E0"/>
    <w:rsid w:val="00F04EE0"/>
    <w:rsid w:val="00F11081"/>
    <w:rsid w:val="00F232F0"/>
    <w:rsid w:val="00F26522"/>
    <w:rsid w:val="00F305CD"/>
    <w:rsid w:val="00F30C5E"/>
    <w:rsid w:val="00F33AC6"/>
    <w:rsid w:val="00F351B2"/>
    <w:rsid w:val="00F40301"/>
    <w:rsid w:val="00F450D5"/>
    <w:rsid w:val="00F635EC"/>
    <w:rsid w:val="00F729DE"/>
    <w:rsid w:val="00F774D8"/>
    <w:rsid w:val="00F81C6C"/>
    <w:rsid w:val="00F8214F"/>
    <w:rsid w:val="00FA4657"/>
    <w:rsid w:val="00FB1E00"/>
    <w:rsid w:val="00FC012E"/>
    <w:rsid w:val="00FC1C03"/>
    <w:rsid w:val="00FC55D5"/>
    <w:rsid w:val="00FD792A"/>
    <w:rsid w:val="00FE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374C2012"/>
  <w15:docId w15:val="{0284AD99-B789-42CA-B28B-644F1B97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3C0A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32F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32F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4C0478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4C0478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4C0478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4C0478"/>
    <w:rPr>
      <w:rFonts w:ascii="Calibri" w:eastAsia="Times New Roman" w:hAnsi="Calibri" w:cs="Times New Roman"/>
      <w:bCs/>
      <w:kern w:val="28"/>
      <w:sz w:val="32"/>
      <w:szCs w:val="32"/>
    </w:rPr>
  </w:style>
  <w:style w:type="table" w:customStyle="1" w:styleId="TableGrid">
    <w:name w:val="TableGrid"/>
    <w:rsid w:val="00A4106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rsid w:val="002A28C1"/>
    <w:pPr>
      <w:spacing w:line="240" w:lineRule="auto"/>
      <w:jc w:val="left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link w:val="Tekstprzypisudolnego"/>
    <w:rsid w:val="002A28C1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uiPriority w:val="99"/>
    <w:rsid w:val="002A28C1"/>
    <w:rPr>
      <w:vertAlign w:val="superscript"/>
    </w:rPr>
  </w:style>
  <w:style w:type="table" w:customStyle="1" w:styleId="TableGrid1">
    <w:name w:val="TableGrid1"/>
    <w:rsid w:val="009275D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8B0265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2212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link w:val="Akapitzlist"/>
    <w:uiPriority w:val="34"/>
    <w:qFormat/>
    <w:rsid w:val="00C44A8F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32F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9732FC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44446-13BF-46F0-8C7A-CCEF2B872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1624</Words>
  <Characters>9749</Characters>
  <Application>Microsoft Office Word</Application>
  <DocSecurity>0</DocSecurity>
  <Lines>81</Lines>
  <Paragraphs>22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Karta drugiego etapu oceny merytorycznej projektu konkursowego</vt:lpstr>
      <vt:lpstr>papier firmowy PARP</vt:lpstr>
      <vt:lpstr/>
    </vt:vector>
  </TitlesOfParts>
  <Company>Polska Agencja Rozwoju Przedsiębiorczości</Company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drugiego etapu oceny merytorycznej projektu konkursowego</dc:title>
  <dc:subject/>
  <dc:creator>irina_pozniak@parp.gov.pl</dc:creator>
  <cp:keywords>PARP, PL, UE, DOTACJE</cp:keywords>
  <cp:lastModifiedBy>Golec Urszula</cp:lastModifiedBy>
  <cp:revision>3</cp:revision>
  <cp:lastPrinted>2023-04-28T13:33:00Z</cp:lastPrinted>
  <dcterms:created xsi:type="dcterms:W3CDTF">2023-09-11T18:01:00Z</dcterms:created>
  <dcterms:modified xsi:type="dcterms:W3CDTF">2023-09-11T18:02:00Z</dcterms:modified>
</cp:coreProperties>
</file>